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0A47AE" w:rsidRDefault="00632588" w:rsidP="000A47AE">
            <w:pPr>
              <w:rPr>
                <w:rStyle w:val="Firstpagetablebold"/>
              </w:rPr>
            </w:pPr>
            <w:r>
              <w:rPr>
                <w:rStyle w:val="Firstpagetablebold"/>
              </w:rPr>
              <w:t>Cabinet</w:t>
            </w:r>
          </w:p>
          <w:p w:rsidR="00F445B1" w:rsidRPr="00F95BC9" w:rsidRDefault="00F445B1" w:rsidP="000A47AE">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0A47AE" w:rsidRDefault="00706B71" w:rsidP="000A47AE">
            <w:pPr>
              <w:rPr>
                <w:rStyle w:val="Firstpagetablebold"/>
              </w:rPr>
            </w:pPr>
            <w:r>
              <w:rPr>
                <w:rStyle w:val="Firstpagetablebold"/>
              </w:rPr>
              <w:t>0</w:t>
            </w:r>
            <w:r w:rsidR="001C1532">
              <w:rPr>
                <w:rStyle w:val="Firstpagetablebold"/>
              </w:rPr>
              <w:t>9</w:t>
            </w:r>
            <w:r w:rsidR="00177372">
              <w:rPr>
                <w:rStyle w:val="Firstpagetablebold"/>
              </w:rPr>
              <w:t xml:space="preserve"> </w:t>
            </w:r>
            <w:r w:rsidR="001C1532">
              <w:rPr>
                <w:rStyle w:val="Firstpagetablebold"/>
              </w:rPr>
              <w:t>Oct</w:t>
            </w:r>
            <w:r w:rsidR="00177372">
              <w:rPr>
                <w:rStyle w:val="Firstpagetablebold"/>
              </w:rPr>
              <w:t xml:space="preserve">  201</w:t>
            </w:r>
            <w:r w:rsidR="005F01A3">
              <w:rPr>
                <w:rStyle w:val="Firstpagetablebold"/>
              </w:rPr>
              <w:t>9</w:t>
            </w:r>
            <w:r w:rsidR="000A47AE">
              <w:rPr>
                <w:rStyle w:val="Firstpagetablebold"/>
              </w:rPr>
              <w:t xml:space="preserve">  </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D0684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uarter 1</w:t>
            </w:r>
            <w:r w:rsidR="00C00652">
              <w:rPr>
                <w:rStyle w:val="Firstpagetablebold"/>
              </w:rPr>
              <w:t xml:space="preserve"> 201</w:t>
            </w:r>
            <w:r w:rsidR="00632588">
              <w:rPr>
                <w:rStyle w:val="Firstpagetablebold"/>
              </w:rPr>
              <w:t>9</w:t>
            </w:r>
            <w:r w:rsidR="00C00652">
              <w:rPr>
                <w:rStyle w:val="Firstpagetablebold"/>
              </w:rPr>
              <w:t>/</w:t>
            </w:r>
            <w:r w:rsidR="00632588">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632588">
            <w:r>
              <w:t>To update Members on Finance, Risk and Performance as at 30</w:t>
            </w:r>
            <w:r w:rsidRPr="00046167">
              <w:rPr>
                <w:vertAlign w:val="superscript"/>
              </w:rPr>
              <w:t>th</w:t>
            </w:r>
            <w:r w:rsidR="00D06841">
              <w:t xml:space="preserve"> June 201</w:t>
            </w:r>
            <w:r w:rsidR="00632588">
              <w:t>9</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706B71" w:rsidP="00706B71">
            <w:r>
              <w:rPr>
                <w:rStyle w:val="Firstpagetablebold"/>
              </w:rPr>
              <w:t>Recommendation</w:t>
            </w:r>
            <w:r w:rsidR="005F7F7E">
              <w:rPr>
                <w:rStyle w:val="Firstpagetablebold"/>
              </w:rPr>
              <w:t>s:</w:t>
            </w:r>
            <w:r w:rsidR="007E64F0">
              <w:rPr>
                <w:rStyle w:val="Firstpagetablebold"/>
              </w:rPr>
              <w:t xml:space="preserve"> </w:t>
            </w:r>
            <w:r w:rsidR="005F7F7E" w:rsidRPr="00706B71">
              <w:rPr>
                <w:rStyle w:val="Firstpagetablebold"/>
                <w:b w:val="0"/>
              </w:rPr>
              <w:t>That the City Executive Board</w:t>
            </w:r>
            <w:r w:rsidR="00A85B0E" w:rsidRPr="00706B71">
              <w:rPr>
                <w:rStyle w:val="Firstpagetablebold"/>
                <w:b w:val="0"/>
              </w:rPr>
              <w:t xml:space="preserve"> resolves to</w:t>
            </w:r>
            <w:r w:rsidR="005F7F7E" w:rsidRPr="00706B71">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6F4D93" w:rsidRDefault="006F4D93" w:rsidP="007E64F0">
            <w:pPr>
              <w:spacing w:before="120" w:after="0"/>
              <w:ind w:left="318"/>
            </w:pPr>
          </w:p>
          <w:p w:rsidR="002A52D8" w:rsidRPr="00975B07" w:rsidRDefault="002A52D8" w:rsidP="00632588">
            <w:pPr>
              <w:spacing w:before="120" w:after="0"/>
            </w:pPr>
          </w:p>
        </w:tc>
        <w:tc>
          <w:tcPr>
            <w:tcW w:w="7909" w:type="dxa"/>
            <w:gridSpan w:val="2"/>
            <w:tcBorders>
              <w:top w:val="single" w:sz="8" w:space="0" w:color="000000"/>
              <w:left w:val="nil"/>
              <w:bottom w:val="nil"/>
              <w:right w:val="single" w:sz="8" w:space="0" w:color="000000"/>
            </w:tcBorders>
            <w:shd w:val="clear" w:color="auto" w:fill="auto"/>
          </w:tcPr>
          <w:p w:rsidR="00121043" w:rsidRDefault="00A85B0E" w:rsidP="00AD186F">
            <w:pPr>
              <w:spacing w:after="0"/>
            </w:pPr>
            <w:r w:rsidRPr="00706B71">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3F50F9">
              <w:rPr>
                <w:rStyle w:val="Firstpagetablebold"/>
                <w:b w:val="0"/>
              </w:rPr>
              <w:t xml:space="preserve">, the current position </w:t>
            </w:r>
            <w:r w:rsidR="00A91B9B">
              <w:rPr>
                <w:rStyle w:val="Firstpagetablebold"/>
                <w:b w:val="0"/>
              </w:rPr>
              <w:t>on risk and performance as at the 30</w:t>
            </w:r>
            <w:r w:rsidR="00A91B9B">
              <w:rPr>
                <w:rStyle w:val="Firstpagetablebold"/>
                <w:b w:val="0"/>
                <w:vertAlign w:val="superscript"/>
              </w:rPr>
              <w:t>th</w:t>
            </w:r>
            <w:r w:rsidR="00A91B9B">
              <w:rPr>
                <w:rStyle w:val="Firstpagetablebold"/>
                <w:b w:val="0"/>
              </w:rPr>
              <w:t xml:space="preserve"> June 201</w:t>
            </w:r>
            <w:r w:rsidR="00632588">
              <w:rPr>
                <w:rStyle w:val="Firstpagetablebold"/>
                <w:b w:val="0"/>
              </w:rPr>
              <w:t>9</w:t>
            </w:r>
            <w:r w:rsidR="00AD186F">
              <w:t>.</w:t>
            </w:r>
          </w:p>
          <w:p w:rsidR="00CB3D91" w:rsidRPr="001356F1" w:rsidRDefault="00CB3D91" w:rsidP="002A52D8">
            <w:pPr>
              <w:spacing w:after="0"/>
            </w:pPr>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Pr="00A85B0E" w:rsidRDefault="0030208D"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85148" w:rsidRDefault="00785148" w:rsidP="004B5708">
            <w:r>
              <w:t xml:space="preserve">Appendix </w:t>
            </w:r>
            <w:r w:rsidR="001E12C0">
              <w:t>C</w:t>
            </w:r>
          </w:p>
          <w:p w:rsidR="007333C3" w:rsidRPr="00975B07" w:rsidRDefault="007333C3" w:rsidP="001C1532"/>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A91B9B" w:rsidRDefault="00A91B9B" w:rsidP="00A91B9B">
            <w:r>
              <w:t>General Fund - June 201</w:t>
            </w:r>
            <w:r w:rsidR="00632588">
              <w:t>9</w:t>
            </w:r>
            <w:r>
              <w:t xml:space="preserve"> Forecast Outturn</w:t>
            </w:r>
          </w:p>
          <w:p w:rsidR="00304AD6" w:rsidRPr="00964187" w:rsidRDefault="00A91B9B" w:rsidP="001E12C0">
            <w:r>
              <w:t>HRA - June 201</w:t>
            </w:r>
            <w:r w:rsidR="00632588">
              <w:t>9</w:t>
            </w:r>
            <w:r>
              <w:t xml:space="preserve"> Forecast Outturn</w:t>
            </w:r>
          </w:p>
        </w:tc>
      </w:tr>
    </w:tbl>
    <w:p w:rsidR="00706B71" w:rsidRDefault="00706B71" w:rsidP="004A6D2F">
      <w:pPr>
        <w:pStyle w:val="Heading1"/>
      </w:pPr>
    </w:p>
    <w:p w:rsidR="0040736F" w:rsidRPr="001356F1" w:rsidRDefault="00121043" w:rsidP="004A6D2F">
      <w:pPr>
        <w:pStyle w:val="Heading1"/>
      </w:pPr>
      <w:r>
        <w:lastRenderedPageBreak/>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updates the Board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D58A0">
        <w:t>0th</w:t>
      </w:r>
      <w:r w:rsidR="007333C3">
        <w:t xml:space="preserve"> </w:t>
      </w:r>
      <w:r w:rsidR="003F50F9">
        <w:t>June</w:t>
      </w:r>
      <w:r w:rsidR="007333C3">
        <w:t xml:space="preserve"> 201</w:t>
      </w:r>
      <w:r w:rsidR="00632588">
        <w:t>9</w:t>
      </w:r>
      <w:r w:rsidR="007333C3">
        <w:t xml:space="preserve">. </w:t>
      </w:r>
      <w:r>
        <w:t xml:space="preserve"> A brief summary is as </w:t>
      </w:r>
      <w:r w:rsidRPr="00136FB7">
        <w:rPr>
          <w:color w:val="auto"/>
        </w:rPr>
        <w:t>follows:</w:t>
      </w:r>
    </w:p>
    <w:p w:rsidR="00FB70AC" w:rsidRPr="00136EB8" w:rsidRDefault="002A15EC" w:rsidP="00FB70AC">
      <w:pPr>
        <w:pStyle w:val="ListParagraph"/>
        <w:rPr>
          <w:color w:val="auto"/>
        </w:rPr>
      </w:pPr>
      <w:r w:rsidRPr="006C483B">
        <w:rPr>
          <w:b/>
          <w:color w:val="auto"/>
        </w:rPr>
        <w:t>Financial</w:t>
      </w:r>
      <w:r w:rsidRPr="00136EB8">
        <w:rPr>
          <w:color w:val="auto"/>
        </w:rPr>
        <w:t xml:space="preserve"> </w:t>
      </w:r>
      <w:r w:rsidR="006C483B" w:rsidRPr="006C483B">
        <w:rPr>
          <w:b/>
          <w:color w:val="auto"/>
        </w:rPr>
        <w:t>Position</w:t>
      </w:r>
    </w:p>
    <w:p w:rsidR="00136FB7" w:rsidRPr="00136EB8" w:rsidRDefault="00C2674F" w:rsidP="00DC1F43">
      <w:pPr>
        <w:pStyle w:val="ListParagraph"/>
        <w:numPr>
          <w:ilvl w:val="1"/>
          <w:numId w:val="2"/>
        </w:numPr>
        <w:rPr>
          <w:color w:val="auto"/>
        </w:rPr>
      </w:pPr>
      <w:r w:rsidRPr="00136EB8">
        <w:rPr>
          <w:rFonts w:cs="Arial"/>
          <w:b/>
          <w:color w:val="auto"/>
        </w:rPr>
        <w:t>General Fund</w:t>
      </w:r>
      <w:r w:rsidRPr="00136EB8">
        <w:rPr>
          <w:rFonts w:cs="Arial"/>
          <w:color w:val="auto"/>
        </w:rPr>
        <w:t xml:space="preserve"> – </w:t>
      </w:r>
      <w:r w:rsidR="00136EB8" w:rsidRPr="00136EB8">
        <w:rPr>
          <w:rFonts w:cs="Arial"/>
          <w:color w:val="auto"/>
        </w:rPr>
        <w:t>t</w:t>
      </w:r>
      <w:r w:rsidR="00360AA3" w:rsidRPr="00136EB8">
        <w:rPr>
          <w:rFonts w:cs="Arial"/>
          <w:color w:val="auto"/>
        </w:rPr>
        <w:t xml:space="preserve">he </w:t>
      </w:r>
      <w:r w:rsidRPr="00136EB8">
        <w:rPr>
          <w:rFonts w:cs="Arial"/>
          <w:color w:val="auto"/>
        </w:rPr>
        <w:t>outturn po</w:t>
      </w:r>
      <w:r w:rsidR="00E001B2" w:rsidRPr="00136EB8">
        <w:rPr>
          <w:rFonts w:cs="Arial"/>
          <w:color w:val="auto"/>
        </w:rPr>
        <w:t xml:space="preserve">sition </w:t>
      </w:r>
      <w:r w:rsidR="00360AA3" w:rsidRPr="00136EB8">
        <w:rPr>
          <w:rFonts w:cs="Arial"/>
          <w:color w:val="auto"/>
        </w:rPr>
        <w:t xml:space="preserve">is </w:t>
      </w:r>
      <w:r w:rsidR="00E141C6">
        <w:rPr>
          <w:rFonts w:cs="Arial"/>
          <w:color w:val="auto"/>
        </w:rPr>
        <w:t>forecast</w:t>
      </w:r>
      <w:r w:rsidR="00E141C6" w:rsidRPr="00136EB8">
        <w:rPr>
          <w:rFonts w:cs="Arial"/>
          <w:color w:val="auto"/>
        </w:rPr>
        <w:t xml:space="preserve"> to be a</w:t>
      </w:r>
      <w:r w:rsidR="003B0A0D">
        <w:rPr>
          <w:rFonts w:cs="Arial"/>
          <w:color w:val="auto"/>
        </w:rPr>
        <w:t xml:space="preserve">n adverse </w:t>
      </w:r>
      <w:r w:rsidR="00E141C6">
        <w:rPr>
          <w:rFonts w:cs="Arial"/>
          <w:color w:val="auto"/>
        </w:rPr>
        <w:t xml:space="preserve">variance </w:t>
      </w:r>
      <w:r w:rsidR="00632588">
        <w:rPr>
          <w:rFonts w:cs="Arial"/>
          <w:color w:val="auto"/>
        </w:rPr>
        <w:t>of £0.270</w:t>
      </w:r>
      <w:r w:rsidR="003B0A0D">
        <w:rPr>
          <w:rFonts w:cs="Arial"/>
          <w:color w:val="auto"/>
        </w:rPr>
        <w:t xml:space="preserve"> million </w:t>
      </w:r>
      <w:r w:rsidR="00E141C6">
        <w:rPr>
          <w:rFonts w:cs="Arial"/>
          <w:color w:val="auto"/>
        </w:rPr>
        <w:t xml:space="preserve">against the </w:t>
      </w:r>
      <w:r w:rsidR="005C007E">
        <w:rPr>
          <w:rFonts w:cs="Arial"/>
          <w:color w:val="auto"/>
        </w:rPr>
        <w:t xml:space="preserve">latest </w:t>
      </w:r>
      <w:r w:rsidR="0086218C">
        <w:rPr>
          <w:rFonts w:cs="Arial"/>
          <w:color w:val="auto"/>
        </w:rPr>
        <w:t xml:space="preserve">net </w:t>
      </w:r>
      <w:r w:rsidR="00E141C6" w:rsidRPr="00136EB8">
        <w:rPr>
          <w:rFonts w:cs="Arial"/>
          <w:color w:val="auto"/>
        </w:rPr>
        <w:t xml:space="preserve">budget </w:t>
      </w:r>
      <w:r w:rsidR="00E141C6" w:rsidRPr="00977766">
        <w:rPr>
          <w:rFonts w:cs="Arial"/>
          <w:color w:val="auto"/>
        </w:rPr>
        <w:t>of £</w:t>
      </w:r>
      <w:r w:rsidR="00964041" w:rsidRPr="00977766">
        <w:rPr>
          <w:rFonts w:cs="Arial"/>
          <w:color w:val="auto"/>
        </w:rPr>
        <w:t>2</w:t>
      </w:r>
      <w:r w:rsidR="003B0A0D">
        <w:rPr>
          <w:rFonts w:cs="Arial"/>
          <w:color w:val="auto"/>
        </w:rPr>
        <w:t>2</w:t>
      </w:r>
      <w:r w:rsidR="00964041" w:rsidRPr="00977766">
        <w:rPr>
          <w:rFonts w:cs="Arial"/>
          <w:color w:val="auto"/>
        </w:rPr>
        <w:t>.</w:t>
      </w:r>
      <w:r w:rsidR="005C5E16" w:rsidRPr="00977766">
        <w:rPr>
          <w:rFonts w:cs="Arial"/>
          <w:color w:val="auto"/>
        </w:rPr>
        <w:t>0</w:t>
      </w:r>
      <w:r w:rsidR="003B0A0D">
        <w:rPr>
          <w:rFonts w:cs="Arial"/>
          <w:color w:val="auto"/>
        </w:rPr>
        <w:t>98</w:t>
      </w:r>
      <w:r w:rsidR="00E141C6" w:rsidRPr="00977766">
        <w:rPr>
          <w:rFonts w:cs="Arial"/>
          <w:color w:val="auto"/>
        </w:rPr>
        <w:t xml:space="preserve"> million</w:t>
      </w:r>
      <w:r w:rsidR="0058330D">
        <w:rPr>
          <w:rFonts w:cs="Arial"/>
          <w:color w:val="auto"/>
        </w:rPr>
        <w:t xml:space="preserve"> (1.22%), and £1.355 million against the service area expenditure (4.77%)</w:t>
      </w:r>
      <w:r w:rsidR="00E141C6" w:rsidRPr="00136EB8">
        <w:rPr>
          <w:rFonts w:cs="Arial"/>
          <w:color w:val="auto"/>
        </w:rPr>
        <w:t>;</w:t>
      </w:r>
    </w:p>
    <w:p w:rsidR="001121C1" w:rsidRPr="00EA78BE" w:rsidRDefault="00C2674F" w:rsidP="002873F1">
      <w:pPr>
        <w:pStyle w:val="ListParagraph"/>
        <w:numPr>
          <w:ilvl w:val="1"/>
          <w:numId w:val="2"/>
        </w:numPr>
        <w:rPr>
          <w:color w:val="auto"/>
        </w:rPr>
      </w:pPr>
      <w:r w:rsidRPr="002873F1">
        <w:rPr>
          <w:rFonts w:cs="Arial"/>
          <w:b/>
          <w:color w:val="auto"/>
        </w:rPr>
        <w:t>Housing Revenue Account</w:t>
      </w:r>
      <w:r w:rsidRPr="002873F1">
        <w:rPr>
          <w:rFonts w:cs="Arial"/>
          <w:color w:val="auto"/>
        </w:rPr>
        <w:t xml:space="preserve"> – </w:t>
      </w:r>
      <w:r w:rsidR="00ED108A">
        <w:rPr>
          <w:rFonts w:cs="Arial"/>
          <w:color w:val="auto"/>
        </w:rPr>
        <w:t>The budgeted surplus agreed at Council in February 2019 was £0.492 million.  A revision to the HRA budget and Business Plan was report to Cabinet on the 20</w:t>
      </w:r>
      <w:r w:rsidR="00ED108A" w:rsidRPr="00AF7460">
        <w:rPr>
          <w:rFonts w:cs="Arial"/>
          <w:color w:val="auto"/>
          <w:vertAlign w:val="superscript"/>
        </w:rPr>
        <w:t>th</w:t>
      </w:r>
      <w:r w:rsidR="00ED108A">
        <w:rPr>
          <w:rFonts w:cs="Arial"/>
          <w:color w:val="auto"/>
        </w:rPr>
        <w:t xml:space="preserve"> May which outlined and requested approval for the change in budget to reflect the impact of the new acquired dwellings.  The revised budget is a surplus of £1.205 million and </w:t>
      </w:r>
      <w:r w:rsidR="00136EB8" w:rsidRPr="002873F1">
        <w:rPr>
          <w:rFonts w:cs="Arial"/>
          <w:color w:val="auto"/>
        </w:rPr>
        <w:t xml:space="preserve">the outturn position is </w:t>
      </w:r>
      <w:r w:rsidR="000776FF" w:rsidRPr="002873F1">
        <w:rPr>
          <w:rFonts w:cs="Arial"/>
          <w:color w:val="auto"/>
        </w:rPr>
        <w:t>forecasting a</w:t>
      </w:r>
      <w:r w:rsidR="003B0A0D">
        <w:rPr>
          <w:rFonts w:cs="Arial"/>
          <w:color w:val="auto"/>
        </w:rPr>
        <w:t xml:space="preserve"> </w:t>
      </w:r>
      <w:r w:rsidR="005C007E">
        <w:rPr>
          <w:rFonts w:cs="Arial"/>
          <w:color w:val="auto"/>
        </w:rPr>
        <w:t>n</w:t>
      </w:r>
      <w:r w:rsidR="003B0A0D">
        <w:rPr>
          <w:rFonts w:cs="Arial"/>
          <w:color w:val="auto"/>
        </w:rPr>
        <w:t>il</w:t>
      </w:r>
      <w:r w:rsidR="00B80C36">
        <w:rPr>
          <w:rFonts w:cs="Arial"/>
          <w:color w:val="auto"/>
        </w:rPr>
        <w:t xml:space="preserve"> </w:t>
      </w:r>
      <w:r w:rsidR="00F1786A">
        <w:rPr>
          <w:rFonts w:cs="Arial"/>
          <w:color w:val="auto"/>
        </w:rPr>
        <w:t>variance</w:t>
      </w:r>
      <w:r w:rsidR="003B0A0D">
        <w:rPr>
          <w:rFonts w:cs="Arial"/>
          <w:color w:val="auto"/>
        </w:rPr>
        <w:t xml:space="preserve"> against </w:t>
      </w:r>
      <w:r w:rsidR="00ED108A">
        <w:rPr>
          <w:rFonts w:cs="Arial"/>
          <w:color w:val="auto"/>
        </w:rPr>
        <w:t>this</w:t>
      </w:r>
      <w:r w:rsidR="00AF7E6D">
        <w:rPr>
          <w:rFonts w:cs="Arial"/>
          <w:color w:val="auto"/>
        </w:rPr>
        <w:t>;</w:t>
      </w:r>
      <w:r w:rsidR="00136EB8" w:rsidRPr="000753A8">
        <w:rPr>
          <w:rFonts w:cs="Arial"/>
          <w:color w:val="auto"/>
        </w:rPr>
        <w:t xml:space="preserve"> </w:t>
      </w:r>
    </w:p>
    <w:p w:rsidR="00EA78BE" w:rsidRPr="000753A8" w:rsidRDefault="00EA78BE" w:rsidP="00EA78BE">
      <w:pPr>
        <w:pStyle w:val="ListParagraph"/>
        <w:numPr>
          <w:ilvl w:val="1"/>
          <w:numId w:val="2"/>
        </w:numPr>
        <w:rPr>
          <w:color w:val="auto"/>
        </w:rPr>
      </w:pPr>
      <w:r w:rsidRPr="002873F1">
        <w:rPr>
          <w:rFonts w:cs="Arial"/>
          <w:b/>
          <w:color w:val="auto"/>
        </w:rPr>
        <w:t>Capital Programme</w:t>
      </w:r>
      <w:r w:rsidRPr="002873F1">
        <w:rPr>
          <w:rFonts w:cs="Arial"/>
          <w:color w:val="auto"/>
        </w:rPr>
        <w:t xml:space="preserve"> – </w:t>
      </w:r>
      <w:r>
        <w:rPr>
          <w:rFonts w:cs="Arial"/>
          <w:color w:val="auto"/>
        </w:rPr>
        <w:t xml:space="preserve">The budget approved </w:t>
      </w:r>
      <w:r w:rsidRPr="00863602">
        <w:rPr>
          <w:rFonts w:cs="Arial"/>
          <w:color w:val="auto"/>
        </w:rPr>
        <w:t xml:space="preserve">at </w:t>
      </w:r>
      <w:r w:rsidRPr="00AF7460">
        <w:t>Council in Feb</w:t>
      </w:r>
      <w:r>
        <w:t>ruary</w:t>
      </w:r>
      <w:r w:rsidRPr="00AF7460">
        <w:t xml:space="preserve"> 2019 was £</w:t>
      </w:r>
      <w:r>
        <w:t>98.305</w:t>
      </w:r>
      <w:r w:rsidRPr="00AF7460">
        <w:t xml:space="preserve"> million. </w:t>
      </w:r>
      <w:r w:rsidR="00C00F7E">
        <w:t>The Council is now reviewing its capital programme processes, to avoid slippage and underspending.  Members have been briefed on the new process.  Therefore the capital programme is not included in this report, and instead an update will be provided in Quarter 2.  That report will also contain any necessary modifications to go forward to Council for approval.</w:t>
      </w:r>
    </w:p>
    <w:p w:rsidR="00C2674F" w:rsidRPr="002159FE" w:rsidRDefault="00C2674F" w:rsidP="00FB70AC">
      <w:pPr>
        <w:pStyle w:val="ListParagraph"/>
        <w:rPr>
          <w:color w:val="auto"/>
        </w:rPr>
      </w:pPr>
      <w:r w:rsidRPr="002159FE">
        <w:rPr>
          <w:b/>
          <w:color w:val="auto"/>
        </w:rPr>
        <w:t>Performance</w:t>
      </w:r>
      <w:r w:rsidRPr="002159FE">
        <w:rPr>
          <w:color w:val="auto"/>
        </w:rPr>
        <w:t xml:space="preserve"> </w:t>
      </w:r>
      <w:r w:rsidR="00D45E2B" w:rsidRPr="002159FE">
        <w:rPr>
          <w:color w:val="auto"/>
        </w:rPr>
        <w:t>–</w:t>
      </w:r>
      <w:r w:rsidRPr="002159FE">
        <w:rPr>
          <w:color w:val="auto"/>
        </w:rPr>
        <w:t xml:space="preserve"> </w:t>
      </w:r>
      <w:r w:rsidR="0006399D">
        <w:rPr>
          <w:color w:val="auto"/>
        </w:rPr>
        <w:t>56</w:t>
      </w:r>
      <w:r w:rsidR="00E141C6" w:rsidRPr="002159FE">
        <w:rPr>
          <w:rFonts w:cs="Arial"/>
          <w:color w:val="auto"/>
        </w:rPr>
        <w:t>% (</w:t>
      </w:r>
      <w:r w:rsidR="0006399D">
        <w:rPr>
          <w:rFonts w:cs="Arial"/>
          <w:color w:val="auto"/>
        </w:rPr>
        <w:t>5</w:t>
      </w:r>
      <w:r w:rsidR="00E141C6" w:rsidRPr="002159FE">
        <w:rPr>
          <w:rFonts w:cs="Arial"/>
          <w:color w:val="auto"/>
        </w:rPr>
        <w:t xml:space="preserve">) of the Council’s corporate performance targets are being delivered as planned, </w:t>
      </w:r>
      <w:r w:rsidR="002159FE" w:rsidRPr="002159FE">
        <w:rPr>
          <w:rFonts w:cs="Arial"/>
          <w:color w:val="auto"/>
        </w:rPr>
        <w:t>22</w:t>
      </w:r>
      <w:r w:rsidR="00E141C6" w:rsidRPr="002159FE">
        <w:rPr>
          <w:rFonts w:cs="Arial"/>
          <w:color w:val="auto"/>
        </w:rPr>
        <w:t>% (</w:t>
      </w:r>
      <w:r w:rsidR="002159FE" w:rsidRPr="002159FE">
        <w:rPr>
          <w:rFonts w:cs="Arial"/>
          <w:color w:val="auto"/>
        </w:rPr>
        <w:t>2</w:t>
      </w:r>
      <w:r w:rsidR="00E141C6" w:rsidRPr="002159FE">
        <w:rPr>
          <w:rFonts w:cs="Arial"/>
          <w:color w:val="auto"/>
        </w:rPr>
        <w:t xml:space="preserve">) </w:t>
      </w:r>
      <w:r w:rsidR="00E141C6" w:rsidRPr="002159FE">
        <w:rPr>
          <w:rFonts w:eastAsia="Calibri" w:cs="Arial"/>
          <w:color w:val="auto"/>
        </w:rPr>
        <w:t>are below target but wit</w:t>
      </w:r>
      <w:r w:rsidR="009C59F4" w:rsidRPr="002159FE">
        <w:rPr>
          <w:rFonts w:eastAsia="Calibri" w:cs="Arial"/>
          <w:color w:val="auto"/>
        </w:rPr>
        <w:t xml:space="preserve">hin acceptable tolerance limits, </w:t>
      </w:r>
      <w:r w:rsidR="0006399D">
        <w:rPr>
          <w:rFonts w:eastAsia="Calibri" w:cs="Arial"/>
          <w:color w:val="auto"/>
        </w:rPr>
        <w:t>11</w:t>
      </w:r>
      <w:r w:rsidR="00E141C6" w:rsidRPr="002159FE">
        <w:rPr>
          <w:rFonts w:eastAsia="Calibri" w:cs="Arial"/>
          <w:color w:val="auto"/>
        </w:rPr>
        <w:t>% (</w:t>
      </w:r>
      <w:r w:rsidR="002159FE" w:rsidRPr="002159FE">
        <w:rPr>
          <w:rFonts w:eastAsia="Calibri" w:cs="Arial"/>
          <w:color w:val="auto"/>
        </w:rPr>
        <w:t>1</w:t>
      </w:r>
      <w:r w:rsidR="00E141C6" w:rsidRPr="002159FE">
        <w:rPr>
          <w:rFonts w:eastAsia="Calibri" w:cs="Arial"/>
          <w:color w:val="auto"/>
        </w:rPr>
        <w:t xml:space="preserve">) </w:t>
      </w:r>
      <w:r w:rsidR="0006399D">
        <w:rPr>
          <w:rFonts w:eastAsia="Calibri" w:cs="Arial"/>
          <w:color w:val="auto"/>
        </w:rPr>
        <w:t>is</w:t>
      </w:r>
      <w:r w:rsidR="0006399D" w:rsidRPr="002159FE">
        <w:rPr>
          <w:rFonts w:eastAsia="Calibri" w:cs="Arial"/>
          <w:color w:val="auto"/>
        </w:rPr>
        <w:t xml:space="preserve"> </w:t>
      </w:r>
      <w:r w:rsidR="00E141C6" w:rsidRPr="002159FE">
        <w:rPr>
          <w:rFonts w:eastAsia="Calibri" w:cs="Arial"/>
          <w:color w:val="auto"/>
        </w:rPr>
        <w:t>currently at risk</w:t>
      </w:r>
      <w:r w:rsidR="002159FE" w:rsidRPr="002159FE">
        <w:rPr>
          <w:rFonts w:eastAsia="Calibri" w:cs="Arial"/>
          <w:color w:val="auto"/>
        </w:rPr>
        <w:t xml:space="preserve"> and </w:t>
      </w:r>
      <w:r w:rsidR="0006399D">
        <w:rPr>
          <w:rFonts w:eastAsia="Calibri" w:cs="Arial"/>
          <w:color w:val="auto"/>
        </w:rPr>
        <w:t>11</w:t>
      </w:r>
      <w:r w:rsidR="009C59F4" w:rsidRPr="002159FE">
        <w:rPr>
          <w:rFonts w:eastAsia="Calibri" w:cs="Arial"/>
          <w:color w:val="auto"/>
        </w:rPr>
        <w:t>% (</w:t>
      </w:r>
      <w:r w:rsidR="0006399D">
        <w:rPr>
          <w:rFonts w:eastAsia="Calibri" w:cs="Arial"/>
          <w:color w:val="auto"/>
        </w:rPr>
        <w:t>1</w:t>
      </w:r>
      <w:r w:rsidR="009C59F4" w:rsidRPr="002159FE">
        <w:rPr>
          <w:rFonts w:eastAsia="Calibri" w:cs="Arial"/>
          <w:color w:val="auto"/>
        </w:rPr>
        <w:t xml:space="preserve">) </w:t>
      </w:r>
      <w:r w:rsidR="0006399D">
        <w:rPr>
          <w:rFonts w:eastAsia="Calibri" w:cs="Arial"/>
          <w:color w:val="auto"/>
        </w:rPr>
        <w:t>is</w:t>
      </w:r>
      <w:r w:rsidR="0006399D" w:rsidRPr="002159FE">
        <w:rPr>
          <w:rFonts w:eastAsia="Calibri" w:cs="Arial"/>
          <w:color w:val="auto"/>
        </w:rPr>
        <w:t xml:space="preserve"> </w:t>
      </w:r>
      <w:r w:rsidR="009C59F4" w:rsidRPr="002159FE">
        <w:rPr>
          <w:rFonts w:eastAsia="Calibri" w:cs="Arial"/>
          <w:color w:val="auto"/>
        </w:rPr>
        <w:t>showing as no data available</w:t>
      </w:r>
      <w:r w:rsidR="005C5E16" w:rsidRPr="002159FE">
        <w:rPr>
          <w:rFonts w:eastAsia="Calibri" w:cs="Arial"/>
          <w:color w:val="auto"/>
        </w:rPr>
        <w:t>, as described in paragraphs 1</w:t>
      </w:r>
      <w:r w:rsidR="00EC1411">
        <w:rPr>
          <w:rFonts w:eastAsia="Calibri" w:cs="Arial"/>
          <w:color w:val="auto"/>
        </w:rPr>
        <w:t>3</w:t>
      </w:r>
      <w:r w:rsidR="008530EB" w:rsidRPr="002159FE">
        <w:rPr>
          <w:rFonts w:eastAsia="Calibri" w:cs="Arial"/>
          <w:color w:val="auto"/>
        </w:rPr>
        <w:t xml:space="preserve"> to 1</w:t>
      </w:r>
      <w:r w:rsidR="00EC1411">
        <w:rPr>
          <w:rFonts w:eastAsia="Calibri" w:cs="Arial"/>
          <w:color w:val="auto"/>
        </w:rPr>
        <w:t>6</w:t>
      </w:r>
      <w:r w:rsidR="005C5E16" w:rsidRPr="002159FE">
        <w:rPr>
          <w:rFonts w:eastAsia="Calibri" w:cs="Arial"/>
          <w:color w:val="auto"/>
        </w:rPr>
        <w:t>;</w:t>
      </w:r>
    </w:p>
    <w:p w:rsidR="00C2674F" w:rsidRPr="00E72133" w:rsidRDefault="006C483B" w:rsidP="00FB70AC">
      <w:pPr>
        <w:pStyle w:val="ListParagraph"/>
        <w:rPr>
          <w:color w:val="auto"/>
        </w:rPr>
      </w:pPr>
      <w:r w:rsidRPr="00E72133">
        <w:rPr>
          <w:rFonts w:cs="Arial"/>
          <w:b/>
          <w:color w:val="auto"/>
        </w:rPr>
        <w:t xml:space="preserve">Corporate </w:t>
      </w:r>
      <w:r w:rsidR="00C2674F" w:rsidRPr="00E72133">
        <w:rPr>
          <w:rFonts w:cs="Arial"/>
          <w:b/>
          <w:color w:val="auto"/>
        </w:rPr>
        <w:t>Risk Management</w:t>
      </w:r>
      <w:r w:rsidR="00650642" w:rsidRPr="00E72133">
        <w:rPr>
          <w:rFonts w:cs="Arial"/>
          <w:color w:val="auto"/>
        </w:rPr>
        <w:t xml:space="preserve"> – There </w:t>
      </w:r>
      <w:r w:rsidR="005E64CB">
        <w:rPr>
          <w:rFonts w:cs="Arial"/>
          <w:color w:val="auto"/>
        </w:rPr>
        <w:t xml:space="preserve">is </w:t>
      </w:r>
      <w:r w:rsidR="00E72133" w:rsidRPr="00E72133">
        <w:rPr>
          <w:rFonts w:cs="Arial"/>
          <w:color w:val="auto"/>
        </w:rPr>
        <w:t>o</w:t>
      </w:r>
      <w:r w:rsidR="005E64CB">
        <w:rPr>
          <w:rFonts w:cs="Arial"/>
          <w:color w:val="auto"/>
        </w:rPr>
        <w:t>ne</w:t>
      </w:r>
      <w:r w:rsidR="00E72133" w:rsidRPr="00E72133">
        <w:rPr>
          <w:rFonts w:cs="Arial"/>
          <w:color w:val="auto"/>
        </w:rPr>
        <w:t xml:space="preserve"> </w:t>
      </w:r>
      <w:r w:rsidR="000119EC" w:rsidRPr="00E72133">
        <w:rPr>
          <w:rFonts w:cs="Arial"/>
          <w:color w:val="auto"/>
        </w:rPr>
        <w:t xml:space="preserve">red </w:t>
      </w:r>
      <w:r w:rsidR="00C2674F" w:rsidRPr="00E72133">
        <w:rPr>
          <w:rFonts w:cs="Arial"/>
          <w:color w:val="auto"/>
        </w:rPr>
        <w:t xml:space="preserve">corporate risk at </w:t>
      </w:r>
      <w:r w:rsidR="007C282E" w:rsidRPr="00E72133">
        <w:rPr>
          <w:rFonts w:cs="Arial"/>
          <w:color w:val="auto"/>
        </w:rPr>
        <w:t xml:space="preserve">the end of </w:t>
      </w:r>
      <w:r w:rsidR="001B0AD1" w:rsidRPr="00E72133">
        <w:rPr>
          <w:rFonts w:cs="Arial"/>
          <w:color w:val="auto"/>
        </w:rPr>
        <w:t>q</w:t>
      </w:r>
      <w:r w:rsidR="007C282E" w:rsidRPr="00E72133">
        <w:rPr>
          <w:rFonts w:cs="Arial"/>
          <w:color w:val="auto"/>
        </w:rPr>
        <w:t>uarter one</w:t>
      </w:r>
      <w:r w:rsidR="005E64CB">
        <w:rPr>
          <w:rFonts w:cs="Arial"/>
          <w:color w:val="auto"/>
        </w:rPr>
        <w:t>, which relates to Housing, and ensuring housing delivery and supply for the City and enabling sufficient house building and investment</w:t>
      </w:r>
      <w:r w:rsidR="00E141C6" w:rsidRPr="00E72133">
        <w:rPr>
          <w:rFonts w:cs="Arial"/>
          <w:color w:val="auto"/>
        </w:rPr>
        <w:t xml:space="preserve"> </w:t>
      </w:r>
      <w:r w:rsidR="005E64CB">
        <w:rPr>
          <w:rFonts w:cs="Arial"/>
          <w:color w:val="auto"/>
        </w:rPr>
        <w:t>.</w:t>
      </w:r>
      <w:r w:rsidR="00E141C6" w:rsidRPr="00E72133">
        <w:rPr>
          <w:rFonts w:cs="Arial"/>
          <w:color w:val="auto"/>
        </w:rPr>
        <w:t xml:space="preserve"> </w:t>
      </w:r>
      <w:r w:rsidR="005E64CB">
        <w:rPr>
          <w:rFonts w:cs="Arial"/>
          <w:color w:val="auto"/>
        </w:rPr>
        <w:t xml:space="preserve"> </w:t>
      </w:r>
      <w:r w:rsidR="0013140F" w:rsidRPr="00E72133">
        <w:rPr>
          <w:rFonts w:cs="Arial"/>
          <w:color w:val="auto"/>
        </w:rPr>
        <w:t xml:space="preserve">More details of </w:t>
      </w:r>
      <w:r w:rsidR="00E72133">
        <w:rPr>
          <w:rFonts w:cs="Arial"/>
          <w:color w:val="auto"/>
        </w:rPr>
        <w:t>risks</w:t>
      </w:r>
      <w:r w:rsidR="0013140F" w:rsidRPr="00E72133">
        <w:rPr>
          <w:rFonts w:cs="Arial"/>
          <w:color w:val="auto"/>
        </w:rPr>
        <w:t xml:space="preserve"> can be found </w:t>
      </w:r>
      <w:r w:rsidR="008530EB" w:rsidRPr="00E72133">
        <w:rPr>
          <w:rFonts w:cs="Arial"/>
          <w:color w:val="auto"/>
        </w:rPr>
        <w:t>in paragraph</w:t>
      </w:r>
      <w:r w:rsidR="00132A6F">
        <w:rPr>
          <w:rFonts w:cs="Arial"/>
          <w:color w:val="auto"/>
        </w:rPr>
        <w:t>s</w:t>
      </w:r>
      <w:r w:rsidR="008530EB" w:rsidRPr="00E72133">
        <w:rPr>
          <w:rFonts w:cs="Arial"/>
          <w:color w:val="auto"/>
        </w:rPr>
        <w:t xml:space="preserve"> 1</w:t>
      </w:r>
      <w:r w:rsidR="00132A6F">
        <w:rPr>
          <w:rFonts w:cs="Arial"/>
          <w:color w:val="auto"/>
        </w:rPr>
        <w:t>7 to 18;</w:t>
      </w:r>
    </w:p>
    <w:p w:rsidR="001B0AD1" w:rsidRDefault="001B0AD1" w:rsidP="00C11950">
      <w:pPr>
        <w:pStyle w:val="ListParagraph"/>
        <w:numPr>
          <w:ilvl w:val="0"/>
          <w:numId w:val="0"/>
        </w:numPr>
        <w:ind w:left="426" w:hanging="426"/>
        <w:rPr>
          <w:b/>
          <w:color w:val="auto"/>
        </w:rPr>
      </w:pPr>
    </w:p>
    <w:p w:rsidR="006C483B" w:rsidRDefault="006C483B" w:rsidP="00C11950">
      <w:pPr>
        <w:pStyle w:val="ListParagraph"/>
        <w:numPr>
          <w:ilvl w:val="0"/>
          <w:numId w:val="0"/>
        </w:numPr>
        <w:ind w:left="426" w:hanging="426"/>
        <w:rPr>
          <w:b/>
          <w:color w:val="auto"/>
        </w:rPr>
      </w:pPr>
      <w:r>
        <w:rPr>
          <w:b/>
          <w:color w:val="auto"/>
        </w:rPr>
        <w:t>Financial Position</w:t>
      </w:r>
    </w:p>
    <w:p w:rsidR="00536A53" w:rsidRPr="00C11950" w:rsidRDefault="00536A53" w:rsidP="00C11950">
      <w:pPr>
        <w:pStyle w:val="ListParagraph"/>
        <w:numPr>
          <w:ilvl w:val="0"/>
          <w:numId w:val="0"/>
        </w:numPr>
        <w:ind w:left="426" w:hanging="426"/>
        <w:rPr>
          <w:b/>
          <w:color w:val="auto"/>
        </w:rPr>
      </w:pPr>
      <w:r w:rsidRPr="002E0A00">
        <w:rPr>
          <w:b/>
          <w:color w:val="auto"/>
        </w:rPr>
        <w:t>General Fund Revenue</w:t>
      </w:r>
    </w:p>
    <w:p w:rsidR="00E141C6" w:rsidRPr="003321B6" w:rsidRDefault="00E141C6" w:rsidP="007E75B1">
      <w:pPr>
        <w:pStyle w:val="ListParagraph"/>
        <w:rPr>
          <w:color w:val="auto"/>
        </w:rPr>
      </w:pPr>
      <w:r w:rsidRPr="001A4B55">
        <w:rPr>
          <w:color w:val="auto"/>
        </w:rPr>
        <w:t xml:space="preserve">The </w:t>
      </w:r>
      <w:r w:rsidR="00F52E15" w:rsidRPr="001A4B55">
        <w:rPr>
          <w:color w:val="auto"/>
        </w:rPr>
        <w:t xml:space="preserve">overall </w:t>
      </w:r>
      <w:r w:rsidR="001A4B55" w:rsidRPr="001A4B55">
        <w:rPr>
          <w:color w:val="auto"/>
        </w:rPr>
        <w:t>N</w:t>
      </w:r>
      <w:r w:rsidR="00BC54ED" w:rsidRPr="001A4B55">
        <w:rPr>
          <w:color w:val="auto"/>
        </w:rPr>
        <w:t>et</w:t>
      </w:r>
      <w:r w:rsidR="002C45FC" w:rsidRPr="001A4B55">
        <w:rPr>
          <w:color w:val="auto"/>
        </w:rPr>
        <w:t xml:space="preserve"> </w:t>
      </w:r>
      <w:r w:rsidR="00DB40A3" w:rsidRPr="001A4B55">
        <w:rPr>
          <w:color w:val="auto"/>
        </w:rPr>
        <w:t>B</w:t>
      </w:r>
      <w:r w:rsidR="00F52E15" w:rsidRPr="001A4B55">
        <w:rPr>
          <w:color w:val="auto"/>
        </w:rPr>
        <w:t xml:space="preserve">udget </w:t>
      </w:r>
      <w:r w:rsidR="001A4B55" w:rsidRPr="001A4B55">
        <w:rPr>
          <w:color w:val="auto"/>
        </w:rPr>
        <w:t xml:space="preserve">Requirement </w:t>
      </w:r>
      <w:r w:rsidR="00CC2459" w:rsidRPr="001A4B55">
        <w:rPr>
          <w:color w:val="auto"/>
        </w:rPr>
        <w:t>a</w:t>
      </w:r>
      <w:r w:rsidR="00F52E15" w:rsidRPr="001A4B55">
        <w:rPr>
          <w:color w:val="auto"/>
        </w:rPr>
        <w:t>greed at Council in February 201</w:t>
      </w:r>
      <w:r w:rsidR="00B22FEE">
        <w:rPr>
          <w:color w:val="auto"/>
        </w:rPr>
        <w:t>9</w:t>
      </w:r>
      <w:r w:rsidR="00F52E15" w:rsidRPr="001A4B55">
        <w:rPr>
          <w:color w:val="auto"/>
        </w:rPr>
        <w:t xml:space="preserve"> was </w:t>
      </w:r>
      <w:r w:rsidR="00F52E15" w:rsidRPr="00F24E9E">
        <w:rPr>
          <w:color w:val="auto"/>
        </w:rPr>
        <w:t>£</w:t>
      </w:r>
      <w:r w:rsidR="00803F1A" w:rsidRPr="00F24E9E">
        <w:rPr>
          <w:color w:val="auto"/>
        </w:rPr>
        <w:t>2</w:t>
      </w:r>
      <w:r w:rsidR="00B22FEE">
        <w:rPr>
          <w:color w:val="auto"/>
        </w:rPr>
        <w:t>3.205</w:t>
      </w:r>
      <w:r w:rsidR="001E7192" w:rsidRPr="00F24E9E">
        <w:rPr>
          <w:color w:val="auto"/>
        </w:rPr>
        <w:t xml:space="preserve"> </w:t>
      </w:r>
      <w:r w:rsidR="007E75B1" w:rsidRPr="00F24E9E">
        <w:rPr>
          <w:color w:val="auto"/>
        </w:rPr>
        <w:t>million</w:t>
      </w:r>
      <w:r w:rsidR="007E75B1">
        <w:rPr>
          <w:color w:val="auto"/>
        </w:rPr>
        <w:t>. Since setting</w:t>
      </w:r>
      <w:r w:rsidR="00F52E15" w:rsidRPr="001A4B55">
        <w:rPr>
          <w:color w:val="auto"/>
        </w:rPr>
        <w:t xml:space="preserve"> the budget</w:t>
      </w:r>
      <w:r w:rsidR="000F1081">
        <w:rPr>
          <w:color w:val="auto"/>
        </w:rPr>
        <w:t>, service area expenditure</w:t>
      </w:r>
      <w:r w:rsidR="007E75B1">
        <w:rPr>
          <w:color w:val="auto"/>
        </w:rPr>
        <w:t xml:space="preserve"> </w:t>
      </w:r>
      <w:r w:rsidR="00C32898">
        <w:rPr>
          <w:color w:val="auto"/>
        </w:rPr>
        <w:t xml:space="preserve">has increased </w:t>
      </w:r>
      <w:r w:rsidR="007E75B1">
        <w:rPr>
          <w:color w:val="auto"/>
        </w:rPr>
        <w:t xml:space="preserve">by </w:t>
      </w:r>
      <w:r w:rsidR="00DA6824">
        <w:rPr>
          <w:color w:val="auto"/>
        </w:rPr>
        <w:t xml:space="preserve">a total of </w:t>
      </w:r>
      <w:r w:rsidR="007E75B1">
        <w:rPr>
          <w:color w:val="auto"/>
        </w:rPr>
        <w:t>£</w:t>
      </w:r>
      <w:r w:rsidR="00B22FEE">
        <w:rPr>
          <w:color w:val="auto"/>
        </w:rPr>
        <w:t>0</w:t>
      </w:r>
      <w:r w:rsidR="007E75B1">
        <w:rPr>
          <w:color w:val="auto"/>
        </w:rPr>
        <w:t>.</w:t>
      </w:r>
      <w:r w:rsidR="00B22FEE">
        <w:rPr>
          <w:color w:val="auto"/>
        </w:rPr>
        <w:t>322</w:t>
      </w:r>
      <w:r w:rsidR="007E75B1">
        <w:rPr>
          <w:color w:val="auto"/>
        </w:rPr>
        <w:t xml:space="preserve"> million which </w:t>
      </w:r>
      <w:r w:rsidR="00DA6824">
        <w:rPr>
          <w:color w:val="auto"/>
        </w:rPr>
        <w:t xml:space="preserve">mainly </w:t>
      </w:r>
      <w:r w:rsidR="007E75B1">
        <w:rPr>
          <w:color w:val="auto"/>
        </w:rPr>
        <w:t>represents</w:t>
      </w:r>
      <w:r w:rsidR="00B22FEE">
        <w:rPr>
          <w:color w:val="auto"/>
        </w:rPr>
        <w:t xml:space="preserve"> release of reserves for transformation projects and repairs and maintenance</w:t>
      </w:r>
      <w:r w:rsidR="007E75B1">
        <w:rPr>
          <w:color w:val="auto"/>
        </w:rPr>
        <w:t xml:space="preserve">. </w:t>
      </w:r>
      <w:r w:rsidR="005F01A3">
        <w:rPr>
          <w:color w:val="auto"/>
        </w:rPr>
        <w:t xml:space="preserve">The </w:t>
      </w:r>
      <w:r w:rsidR="007E75B1">
        <w:rPr>
          <w:color w:val="auto"/>
        </w:rPr>
        <w:t>Net Budget Requirement remains</w:t>
      </w:r>
      <w:r w:rsidR="00B32485">
        <w:rPr>
          <w:color w:val="auto"/>
        </w:rPr>
        <w:t xml:space="preserve"> </w:t>
      </w:r>
      <w:r w:rsidR="0018749F">
        <w:rPr>
          <w:color w:val="auto"/>
        </w:rPr>
        <w:t>unchanged</w:t>
      </w:r>
      <w:r w:rsidR="007E75B1">
        <w:rPr>
          <w:color w:val="auto"/>
        </w:rPr>
        <w:t>.</w:t>
      </w:r>
      <w:r w:rsidR="00C84C29">
        <w:rPr>
          <w:color w:val="auto"/>
        </w:rPr>
        <w:t xml:space="preserve">  </w:t>
      </w:r>
    </w:p>
    <w:p w:rsidR="003025E1" w:rsidRPr="003321B6" w:rsidRDefault="00B32485" w:rsidP="005570B5">
      <w:pPr>
        <w:pStyle w:val="ListParagraph"/>
        <w:rPr>
          <w:color w:val="auto"/>
        </w:rPr>
      </w:pPr>
      <w:r w:rsidRPr="003321B6">
        <w:rPr>
          <w:color w:val="auto"/>
        </w:rPr>
        <w:t>V</w:t>
      </w:r>
      <w:r w:rsidR="00F431BC" w:rsidRPr="003321B6">
        <w:rPr>
          <w:color w:val="auto"/>
        </w:rPr>
        <w:t>irements</w:t>
      </w:r>
      <w:r w:rsidR="001E7192" w:rsidRPr="003321B6">
        <w:rPr>
          <w:color w:val="auto"/>
        </w:rPr>
        <w:t xml:space="preserve"> between service areas</w:t>
      </w:r>
      <w:r w:rsidR="00F431BC" w:rsidRPr="003321B6">
        <w:rPr>
          <w:color w:val="auto"/>
        </w:rPr>
        <w:t>, authorised under delegated powers by the Council’s Head of Financial Services totalling £</w:t>
      </w:r>
      <w:r w:rsidR="002C45FC" w:rsidRPr="003321B6">
        <w:rPr>
          <w:color w:val="auto"/>
        </w:rPr>
        <w:t>0.</w:t>
      </w:r>
      <w:r w:rsidR="001826BE">
        <w:rPr>
          <w:color w:val="auto"/>
        </w:rPr>
        <w:t>818</w:t>
      </w:r>
      <w:r w:rsidR="002C45FC" w:rsidRPr="003321B6">
        <w:rPr>
          <w:color w:val="auto"/>
        </w:rPr>
        <w:t xml:space="preserve"> million</w:t>
      </w:r>
      <w:r w:rsidRPr="003321B6">
        <w:rPr>
          <w:color w:val="auto"/>
        </w:rPr>
        <w:t xml:space="preserve"> have also taken place</w:t>
      </w:r>
      <w:r w:rsidR="00133FCB">
        <w:rPr>
          <w:color w:val="auto"/>
        </w:rPr>
        <w:t>,</w:t>
      </w:r>
      <w:r w:rsidR="001826BE">
        <w:rPr>
          <w:color w:val="auto"/>
        </w:rPr>
        <w:t xml:space="preserve"> </w:t>
      </w:r>
      <w:r w:rsidR="00133FCB">
        <w:rPr>
          <w:color w:val="auto"/>
        </w:rPr>
        <w:t>t</w:t>
      </w:r>
      <w:r w:rsidR="00F431BC" w:rsidRPr="003321B6">
        <w:rPr>
          <w:color w:val="auto"/>
        </w:rPr>
        <w:t>he most notable of which £</w:t>
      </w:r>
      <w:r w:rsidR="002C45FC" w:rsidRPr="003321B6">
        <w:rPr>
          <w:color w:val="auto"/>
        </w:rPr>
        <w:t>0.</w:t>
      </w:r>
      <w:r w:rsidR="00B22FEE">
        <w:rPr>
          <w:color w:val="auto"/>
        </w:rPr>
        <w:t>212</w:t>
      </w:r>
      <w:r w:rsidR="002C45FC" w:rsidRPr="003321B6">
        <w:rPr>
          <w:color w:val="auto"/>
        </w:rPr>
        <w:t xml:space="preserve"> million</w:t>
      </w:r>
      <w:r w:rsidR="00F431BC" w:rsidRPr="003321B6">
        <w:rPr>
          <w:color w:val="auto"/>
        </w:rPr>
        <w:t xml:space="preserve"> relates to </w:t>
      </w:r>
      <w:r w:rsidR="002C45FC" w:rsidRPr="003321B6">
        <w:rPr>
          <w:color w:val="auto"/>
        </w:rPr>
        <w:t xml:space="preserve">the </w:t>
      </w:r>
      <w:r w:rsidR="00DA6824" w:rsidRPr="003321B6">
        <w:rPr>
          <w:color w:val="auto"/>
        </w:rPr>
        <w:t>release from Transformation funds for ongoing projects</w:t>
      </w:r>
      <w:r w:rsidR="00852FE1">
        <w:rPr>
          <w:color w:val="auto"/>
        </w:rPr>
        <w:t>, such as Ren</w:t>
      </w:r>
      <w:r w:rsidR="00EC1411">
        <w:rPr>
          <w:color w:val="auto"/>
        </w:rPr>
        <w:t>t Guarantee model; Team Oxford C</w:t>
      </w:r>
      <w:r w:rsidR="00852FE1">
        <w:rPr>
          <w:color w:val="auto"/>
        </w:rPr>
        <w:t>omm</w:t>
      </w:r>
      <w:r w:rsidR="00EC1411">
        <w:rPr>
          <w:color w:val="auto"/>
        </w:rPr>
        <w:t>unications</w:t>
      </w:r>
      <w:r w:rsidR="00852FE1">
        <w:rPr>
          <w:color w:val="auto"/>
        </w:rPr>
        <w:t xml:space="preserve">; Corporate Scanning project; </w:t>
      </w:r>
      <w:proofErr w:type="spellStart"/>
      <w:r w:rsidR="00852FE1">
        <w:rPr>
          <w:color w:val="auto"/>
        </w:rPr>
        <w:t>Idox</w:t>
      </w:r>
      <w:proofErr w:type="spellEnd"/>
      <w:r w:rsidR="00852FE1">
        <w:rPr>
          <w:color w:val="auto"/>
        </w:rPr>
        <w:t xml:space="preserve"> upgrade</w:t>
      </w:r>
      <w:r w:rsidR="00EC1411">
        <w:rPr>
          <w:color w:val="auto"/>
        </w:rPr>
        <w:t>;</w:t>
      </w:r>
      <w:r w:rsidR="00852FE1">
        <w:rPr>
          <w:color w:val="auto"/>
        </w:rPr>
        <w:t xml:space="preserve"> Business Process Automation pilot</w:t>
      </w:r>
      <w:r w:rsidR="00DA6824" w:rsidRPr="003321B6">
        <w:rPr>
          <w:color w:val="auto"/>
        </w:rPr>
        <w:t xml:space="preserve"> and £0.</w:t>
      </w:r>
      <w:r w:rsidR="001826BE">
        <w:rPr>
          <w:color w:val="auto"/>
        </w:rPr>
        <w:t>442</w:t>
      </w:r>
      <w:r w:rsidR="00DA6824" w:rsidRPr="003321B6">
        <w:rPr>
          <w:color w:val="auto"/>
        </w:rPr>
        <w:t xml:space="preserve"> million being </w:t>
      </w:r>
      <w:r w:rsidR="001826BE">
        <w:rPr>
          <w:color w:val="auto"/>
        </w:rPr>
        <w:t>release of grant funding into the service area for ongoing expenditure.</w:t>
      </w:r>
      <w:r w:rsidR="003025E1" w:rsidRPr="003321B6">
        <w:rPr>
          <w:color w:val="auto"/>
        </w:rPr>
        <w:t xml:space="preserve"> </w:t>
      </w:r>
      <w:r w:rsidR="002C45FC" w:rsidRPr="003321B6">
        <w:rPr>
          <w:color w:val="auto"/>
        </w:rPr>
        <w:t xml:space="preserve"> </w:t>
      </w:r>
      <w:r w:rsidR="00F431BC" w:rsidRPr="003321B6">
        <w:rPr>
          <w:color w:val="auto"/>
        </w:rPr>
        <w:t xml:space="preserve">There is no </w:t>
      </w:r>
      <w:r w:rsidR="003025E1" w:rsidRPr="003321B6">
        <w:rPr>
          <w:color w:val="auto"/>
        </w:rPr>
        <w:t xml:space="preserve">change </w:t>
      </w:r>
      <w:r w:rsidR="00F431BC" w:rsidRPr="003321B6">
        <w:rPr>
          <w:color w:val="auto"/>
        </w:rPr>
        <w:t xml:space="preserve">to </w:t>
      </w:r>
      <w:r w:rsidR="003025E1" w:rsidRPr="003321B6">
        <w:rPr>
          <w:color w:val="auto"/>
        </w:rPr>
        <w:t xml:space="preserve">the </w:t>
      </w:r>
      <w:r w:rsidR="00F431BC" w:rsidRPr="003321B6">
        <w:rPr>
          <w:color w:val="auto"/>
        </w:rPr>
        <w:t xml:space="preserve">Council’s </w:t>
      </w:r>
      <w:r w:rsidR="003025E1" w:rsidRPr="003321B6">
        <w:rPr>
          <w:color w:val="auto"/>
        </w:rPr>
        <w:t>Net Budget Requirement.</w:t>
      </w:r>
    </w:p>
    <w:p w:rsidR="009B6D80" w:rsidRPr="003321B6" w:rsidRDefault="00CC2459" w:rsidP="00E141C6">
      <w:pPr>
        <w:pStyle w:val="ListParagraph"/>
        <w:rPr>
          <w:color w:val="auto"/>
        </w:rPr>
      </w:pPr>
      <w:r w:rsidRPr="003321B6">
        <w:rPr>
          <w:color w:val="auto"/>
        </w:rPr>
        <w:lastRenderedPageBreak/>
        <w:t>At 30</w:t>
      </w:r>
      <w:r w:rsidRPr="003321B6">
        <w:rPr>
          <w:color w:val="auto"/>
          <w:vertAlign w:val="superscript"/>
        </w:rPr>
        <w:t>th</w:t>
      </w:r>
      <w:r w:rsidR="00DA6824" w:rsidRPr="003321B6">
        <w:rPr>
          <w:color w:val="auto"/>
        </w:rPr>
        <w:t xml:space="preserve"> June 201</w:t>
      </w:r>
      <w:r w:rsidR="001D1B96">
        <w:rPr>
          <w:color w:val="auto"/>
        </w:rPr>
        <w:t>9</w:t>
      </w:r>
      <w:r w:rsidRPr="003321B6">
        <w:rPr>
          <w:color w:val="auto"/>
        </w:rPr>
        <w:t xml:space="preserve"> t</w:t>
      </w:r>
      <w:r w:rsidR="006C483B" w:rsidRPr="003321B6">
        <w:rPr>
          <w:color w:val="auto"/>
        </w:rPr>
        <w:t>h</w:t>
      </w:r>
      <w:r w:rsidR="00470A86" w:rsidRPr="003321B6">
        <w:rPr>
          <w:color w:val="auto"/>
        </w:rPr>
        <w:t xml:space="preserve">e General Fund </w:t>
      </w:r>
      <w:r w:rsidR="00261C3B">
        <w:rPr>
          <w:color w:val="auto"/>
        </w:rPr>
        <w:t xml:space="preserve">Service area expenditure </w:t>
      </w:r>
      <w:r w:rsidR="00470A86" w:rsidRPr="003321B6">
        <w:rPr>
          <w:color w:val="auto"/>
        </w:rPr>
        <w:t>is projecting a</w:t>
      </w:r>
      <w:r w:rsidR="00DA6824" w:rsidRPr="003321B6">
        <w:rPr>
          <w:color w:val="auto"/>
        </w:rPr>
        <w:t xml:space="preserve">n adverse </w:t>
      </w:r>
      <w:r w:rsidR="00AF7E6D" w:rsidRPr="003321B6">
        <w:rPr>
          <w:color w:val="auto"/>
        </w:rPr>
        <w:t>variance</w:t>
      </w:r>
      <w:r w:rsidR="00E141C6" w:rsidRPr="003321B6">
        <w:rPr>
          <w:color w:val="auto"/>
        </w:rPr>
        <w:t xml:space="preserve"> </w:t>
      </w:r>
      <w:r w:rsidR="00DA6824" w:rsidRPr="003321B6">
        <w:rPr>
          <w:color w:val="auto"/>
        </w:rPr>
        <w:t>of £</w:t>
      </w:r>
      <w:r w:rsidR="001826BE">
        <w:rPr>
          <w:color w:val="auto"/>
        </w:rPr>
        <w:t>1.355</w:t>
      </w:r>
      <w:r w:rsidR="00DA6824" w:rsidRPr="003321B6">
        <w:rPr>
          <w:color w:val="auto"/>
        </w:rPr>
        <w:t xml:space="preserve"> million </w:t>
      </w:r>
      <w:r w:rsidR="00E141C6" w:rsidRPr="003321B6">
        <w:rPr>
          <w:color w:val="auto"/>
        </w:rPr>
        <w:t>against</w:t>
      </w:r>
      <w:r w:rsidR="001826BE">
        <w:rPr>
          <w:color w:val="auto"/>
        </w:rPr>
        <w:t xml:space="preserve"> the latest budget of £29.370 million</w:t>
      </w:r>
      <w:r w:rsidR="002C466A">
        <w:rPr>
          <w:color w:val="auto"/>
        </w:rPr>
        <w:t xml:space="preserve">, this is in part </w:t>
      </w:r>
      <w:r w:rsidR="00F428FA">
        <w:rPr>
          <w:color w:val="auto"/>
        </w:rPr>
        <w:t>offset</w:t>
      </w:r>
      <w:r w:rsidR="002C466A">
        <w:rPr>
          <w:color w:val="auto"/>
        </w:rPr>
        <w:t xml:space="preserve"> by </w:t>
      </w:r>
      <w:r w:rsidR="001826BE">
        <w:rPr>
          <w:color w:val="auto"/>
        </w:rPr>
        <w:t xml:space="preserve">a release from </w:t>
      </w:r>
      <w:r w:rsidR="006C78E9">
        <w:rPr>
          <w:color w:val="auto"/>
        </w:rPr>
        <w:t>the General Fund Repairs and Maintenance reserve and capital financing reserve</w:t>
      </w:r>
      <w:r w:rsidR="00852FE1">
        <w:rPr>
          <w:color w:val="auto"/>
        </w:rPr>
        <w:t>,</w:t>
      </w:r>
      <w:r w:rsidR="001826BE">
        <w:rPr>
          <w:color w:val="auto"/>
        </w:rPr>
        <w:t xml:space="preserve"> of £1.</w:t>
      </w:r>
      <w:r w:rsidR="002D2AFE">
        <w:rPr>
          <w:color w:val="auto"/>
        </w:rPr>
        <w:t>085</w:t>
      </w:r>
      <w:r w:rsidR="001826BE">
        <w:rPr>
          <w:color w:val="auto"/>
        </w:rPr>
        <w:t xml:space="preserve"> million</w:t>
      </w:r>
      <w:r w:rsidR="002C466A">
        <w:rPr>
          <w:color w:val="auto"/>
        </w:rPr>
        <w:t xml:space="preserve"> with an ov</w:t>
      </w:r>
      <w:r w:rsidR="001826BE">
        <w:rPr>
          <w:color w:val="auto"/>
        </w:rPr>
        <w:t>erall adverse variance of £0.270</w:t>
      </w:r>
      <w:r w:rsidR="002C466A">
        <w:rPr>
          <w:color w:val="auto"/>
        </w:rPr>
        <w:t xml:space="preserve"> million against</w:t>
      </w:r>
      <w:r w:rsidR="00E141C6" w:rsidRPr="003321B6">
        <w:rPr>
          <w:color w:val="auto"/>
        </w:rPr>
        <w:t xml:space="preserve"> the latest </w:t>
      </w:r>
      <w:r w:rsidR="001D1B96">
        <w:rPr>
          <w:color w:val="auto"/>
        </w:rPr>
        <w:t>N</w:t>
      </w:r>
      <w:r w:rsidR="00DB40A3" w:rsidRPr="003321B6">
        <w:rPr>
          <w:color w:val="auto"/>
        </w:rPr>
        <w:t xml:space="preserve">et </w:t>
      </w:r>
      <w:r w:rsidR="001D1B96">
        <w:rPr>
          <w:color w:val="auto"/>
        </w:rPr>
        <w:t>B</w:t>
      </w:r>
      <w:r w:rsidR="00E141C6" w:rsidRPr="003321B6">
        <w:rPr>
          <w:color w:val="auto"/>
        </w:rPr>
        <w:t xml:space="preserve">udget </w:t>
      </w:r>
      <w:r w:rsidR="001D1B96">
        <w:rPr>
          <w:color w:val="auto"/>
        </w:rPr>
        <w:t>R</w:t>
      </w:r>
      <w:r w:rsidR="00474C2A">
        <w:rPr>
          <w:color w:val="auto"/>
        </w:rPr>
        <w:t xml:space="preserve">equirement </w:t>
      </w:r>
      <w:r w:rsidR="00E141C6" w:rsidRPr="003321B6">
        <w:rPr>
          <w:color w:val="auto"/>
        </w:rPr>
        <w:t>of £</w:t>
      </w:r>
      <w:r w:rsidR="00964041" w:rsidRPr="003321B6">
        <w:rPr>
          <w:color w:val="auto"/>
        </w:rPr>
        <w:t>2</w:t>
      </w:r>
      <w:r w:rsidR="001826BE">
        <w:rPr>
          <w:color w:val="auto"/>
        </w:rPr>
        <w:t>3.205</w:t>
      </w:r>
      <w:r w:rsidR="00E141C6" w:rsidRPr="003321B6">
        <w:rPr>
          <w:color w:val="auto"/>
        </w:rPr>
        <w:t xml:space="preserve"> million</w:t>
      </w:r>
      <w:r w:rsidR="00DA6824" w:rsidRPr="003321B6">
        <w:rPr>
          <w:color w:val="auto"/>
        </w:rPr>
        <w:t>.</w:t>
      </w:r>
      <w:r w:rsidR="00E141C6" w:rsidRPr="003321B6">
        <w:rPr>
          <w:color w:val="auto"/>
        </w:rPr>
        <w:t xml:space="preserve">  </w:t>
      </w:r>
      <w:r w:rsidR="003321B6" w:rsidRPr="003321B6">
        <w:rPr>
          <w:color w:val="auto"/>
        </w:rPr>
        <w:t>The key variances are:</w:t>
      </w:r>
    </w:p>
    <w:p w:rsidR="003321B6" w:rsidRPr="003321B6" w:rsidRDefault="00EA5469" w:rsidP="003321B6">
      <w:pPr>
        <w:pStyle w:val="ListParagraph"/>
        <w:numPr>
          <w:ilvl w:val="0"/>
          <w:numId w:val="30"/>
        </w:numPr>
        <w:rPr>
          <w:color w:val="auto"/>
        </w:rPr>
      </w:pPr>
      <w:r>
        <w:rPr>
          <w:b/>
          <w:color w:val="auto"/>
        </w:rPr>
        <w:t>Community Service</w:t>
      </w:r>
      <w:r w:rsidR="002D4A0A">
        <w:rPr>
          <w:b/>
          <w:color w:val="auto"/>
        </w:rPr>
        <w:t>s</w:t>
      </w:r>
      <w:r w:rsidR="003321B6" w:rsidRPr="003321B6">
        <w:rPr>
          <w:color w:val="auto"/>
        </w:rPr>
        <w:t xml:space="preserve"> – </w:t>
      </w:r>
      <w:r w:rsidR="003321B6">
        <w:rPr>
          <w:color w:val="auto"/>
        </w:rPr>
        <w:t>£0.</w:t>
      </w:r>
      <w:r w:rsidR="002D4A0A">
        <w:rPr>
          <w:color w:val="auto"/>
        </w:rPr>
        <w:t>030</w:t>
      </w:r>
      <w:r w:rsidR="003321B6">
        <w:rPr>
          <w:color w:val="auto"/>
        </w:rPr>
        <w:t xml:space="preserve"> million adverse variance arising from </w:t>
      </w:r>
      <w:r w:rsidR="002D4A0A">
        <w:rPr>
          <w:color w:val="auto"/>
        </w:rPr>
        <w:t>additional expenditure for the OVO Energy Women’s Cycle Tour.  Future years</w:t>
      </w:r>
      <w:r w:rsidR="00C00F7E">
        <w:rPr>
          <w:color w:val="auto"/>
        </w:rPr>
        <w:t>’</w:t>
      </w:r>
      <w:r w:rsidR="002D4A0A">
        <w:rPr>
          <w:color w:val="auto"/>
        </w:rPr>
        <w:t xml:space="preserve"> costs will be </w:t>
      </w:r>
      <w:r w:rsidR="001D1B96">
        <w:rPr>
          <w:color w:val="auto"/>
        </w:rPr>
        <w:t xml:space="preserve">considered </w:t>
      </w:r>
      <w:r w:rsidR="002D4A0A">
        <w:rPr>
          <w:color w:val="auto"/>
        </w:rPr>
        <w:t xml:space="preserve">in the budget </w:t>
      </w:r>
      <w:r w:rsidR="001D1B96">
        <w:rPr>
          <w:color w:val="auto"/>
        </w:rPr>
        <w:t xml:space="preserve">setting </w:t>
      </w:r>
      <w:r w:rsidR="002D4A0A">
        <w:rPr>
          <w:color w:val="auto"/>
        </w:rPr>
        <w:t>process.</w:t>
      </w:r>
    </w:p>
    <w:p w:rsidR="003321B6" w:rsidRDefault="002D4A0A" w:rsidP="003321B6">
      <w:pPr>
        <w:pStyle w:val="ListParagraph"/>
        <w:numPr>
          <w:ilvl w:val="0"/>
          <w:numId w:val="30"/>
        </w:numPr>
        <w:rPr>
          <w:color w:val="auto"/>
        </w:rPr>
      </w:pPr>
      <w:r>
        <w:rPr>
          <w:b/>
          <w:color w:val="auto"/>
        </w:rPr>
        <w:t>Assistant Chief Executive</w:t>
      </w:r>
      <w:r w:rsidR="003321B6" w:rsidRPr="003321B6">
        <w:rPr>
          <w:color w:val="auto"/>
        </w:rPr>
        <w:t xml:space="preserve"> </w:t>
      </w:r>
      <w:r w:rsidR="003321B6">
        <w:rPr>
          <w:color w:val="auto"/>
        </w:rPr>
        <w:t>–</w:t>
      </w:r>
      <w:r w:rsidR="003321B6" w:rsidRPr="003321B6">
        <w:rPr>
          <w:color w:val="auto"/>
        </w:rPr>
        <w:t xml:space="preserve"> </w:t>
      </w:r>
      <w:r w:rsidR="003321B6">
        <w:rPr>
          <w:color w:val="auto"/>
        </w:rPr>
        <w:t>£0.</w:t>
      </w:r>
      <w:r>
        <w:rPr>
          <w:color w:val="auto"/>
        </w:rPr>
        <w:t>100</w:t>
      </w:r>
      <w:r w:rsidR="003321B6">
        <w:rPr>
          <w:color w:val="auto"/>
        </w:rPr>
        <w:t xml:space="preserve"> million </w:t>
      </w:r>
      <w:r w:rsidR="00507E3B">
        <w:rPr>
          <w:color w:val="auto"/>
        </w:rPr>
        <w:t>adverse</w:t>
      </w:r>
      <w:r w:rsidR="003321B6">
        <w:rPr>
          <w:color w:val="auto"/>
        </w:rPr>
        <w:t xml:space="preserve"> variance which is due to </w:t>
      </w:r>
      <w:r w:rsidR="00507E3B">
        <w:rPr>
          <w:color w:val="auto"/>
        </w:rPr>
        <w:t>unbudgeted expenditure relating to the Citizens Assembly, these costs have been mitigated by use of reserves in year and therefore have a net impact on the overall adverse variance</w:t>
      </w:r>
      <w:r w:rsidR="003321B6">
        <w:rPr>
          <w:color w:val="auto"/>
        </w:rPr>
        <w:t>.</w:t>
      </w:r>
    </w:p>
    <w:p w:rsidR="002D4A0A" w:rsidRPr="002D4A0A" w:rsidRDefault="002D4A0A" w:rsidP="003321B6">
      <w:pPr>
        <w:pStyle w:val="ListParagraph"/>
        <w:numPr>
          <w:ilvl w:val="0"/>
          <w:numId w:val="30"/>
        </w:numPr>
        <w:rPr>
          <w:color w:val="auto"/>
        </w:rPr>
      </w:pPr>
      <w:r>
        <w:rPr>
          <w:b/>
          <w:color w:val="auto"/>
        </w:rPr>
        <w:t xml:space="preserve">Housing Services - </w:t>
      </w:r>
      <w:r w:rsidRPr="002D4A0A">
        <w:rPr>
          <w:color w:val="auto"/>
        </w:rPr>
        <w:t>£0.975 million</w:t>
      </w:r>
      <w:r w:rsidR="00507E3B">
        <w:rPr>
          <w:color w:val="auto"/>
        </w:rPr>
        <w:t xml:space="preserve"> – adverse variance due to unexpected expenditure relating to surveys for the Town Hall, Asbestos, Health &amp; Safety and ceiling works to the Town Hall.  These costs have </w:t>
      </w:r>
      <w:r w:rsidR="00F44049">
        <w:rPr>
          <w:color w:val="auto"/>
        </w:rPr>
        <w:t>been funded from earmarked reserves to mitigate any adverse effect on the revenue account</w:t>
      </w:r>
      <w:r w:rsidR="00507E3B">
        <w:rPr>
          <w:color w:val="auto"/>
        </w:rPr>
        <w:t>.</w:t>
      </w:r>
    </w:p>
    <w:p w:rsidR="002D4A0A" w:rsidRPr="002D4A0A" w:rsidRDefault="002D4A0A" w:rsidP="003321B6">
      <w:pPr>
        <w:pStyle w:val="ListParagraph"/>
        <w:numPr>
          <w:ilvl w:val="0"/>
          <w:numId w:val="30"/>
        </w:numPr>
        <w:rPr>
          <w:color w:val="auto"/>
        </w:rPr>
      </w:pPr>
      <w:r>
        <w:rPr>
          <w:b/>
          <w:color w:val="auto"/>
        </w:rPr>
        <w:t xml:space="preserve">Environmental Sustainability – </w:t>
      </w:r>
      <w:r>
        <w:rPr>
          <w:color w:val="auto"/>
        </w:rPr>
        <w:t>£0.090 million</w:t>
      </w:r>
      <w:r w:rsidR="00507E3B">
        <w:rPr>
          <w:color w:val="auto"/>
        </w:rPr>
        <w:t xml:space="preserve"> </w:t>
      </w:r>
      <w:r w:rsidR="006C1250">
        <w:rPr>
          <w:color w:val="auto"/>
        </w:rPr>
        <w:t>–</w:t>
      </w:r>
      <w:r w:rsidR="00507E3B">
        <w:rPr>
          <w:color w:val="auto"/>
        </w:rPr>
        <w:t xml:space="preserve"> </w:t>
      </w:r>
      <w:r w:rsidR="006C1250">
        <w:rPr>
          <w:color w:val="auto"/>
        </w:rPr>
        <w:t>adverse variance due to unbudgeted expenditure relating to additional</w:t>
      </w:r>
      <w:r w:rsidR="005223AA">
        <w:rPr>
          <w:color w:val="auto"/>
        </w:rPr>
        <w:t xml:space="preserve"> officer capacity for sc</w:t>
      </w:r>
      <w:r w:rsidR="00E06D4C">
        <w:rPr>
          <w:color w:val="auto"/>
        </w:rPr>
        <w:t>oping emissions reduction across the City Council carbon footprint and external research and modelling</w:t>
      </w:r>
      <w:r w:rsidR="006C1250">
        <w:rPr>
          <w:color w:val="auto"/>
        </w:rPr>
        <w:t>.</w:t>
      </w:r>
    </w:p>
    <w:p w:rsidR="002D4A0A" w:rsidRPr="002D4A0A" w:rsidRDefault="002D4A0A" w:rsidP="003321B6">
      <w:pPr>
        <w:pStyle w:val="ListParagraph"/>
        <w:numPr>
          <w:ilvl w:val="0"/>
          <w:numId w:val="30"/>
        </w:numPr>
        <w:rPr>
          <w:color w:val="auto"/>
        </w:rPr>
      </w:pPr>
      <w:r>
        <w:rPr>
          <w:b/>
          <w:color w:val="auto"/>
        </w:rPr>
        <w:t>Oxford Direct Services</w:t>
      </w:r>
      <w:r>
        <w:rPr>
          <w:color w:val="auto"/>
        </w:rPr>
        <w:t xml:space="preserve"> - £0.160 million</w:t>
      </w:r>
      <w:r w:rsidR="006C1250">
        <w:rPr>
          <w:color w:val="auto"/>
        </w:rPr>
        <w:t xml:space="preserve"> – adverse variance due to savings predicated on the development of the Recycling Transfer Station not materialising in year due to slippage of the scheme.</w:t>
      </w:r>
    </w:p>
    <w:p w:rsidR="002D4A0A" w:rsidRPr="002D4A0A" w:rsidRDefault="002D4A0A" w:rsidP="003321B6">
      <w:pPr>
        <w:pStyle w:val="ListParagraph"/>
        <w:numPr>
          <w:ilvl w:val="0"/>
          <w:numId w:val="30"/>
        </w:numPr>
        <w:rPr>
          <w:color w:val="auto"/>
        </w:rPr>
      </w:pPr>
      <w:r>
        <w:rPr>
          <w:b/>
          <w:color w:val="auto"/>
        </w:rPr>
        <w:t xml:space="preserve">Transfer to /from Earmarked Reserves </w:t>
      </w:r>
      <w:r>
        <w:rPr>
          <w:color w:val="auto"/>
        </w:rPr>
        <w:t>- £1.165 million</w:t>
      </w:r>
      <w:r w:rsidR="006C1250">
        <w:rPr>
          <w:color w:val="auto"/>
        </w:rPr>
        <w:t xml:space="preserve"> – use of </w:t>
      </w:r>
      <w:r w:rsidR="00046505">
        <w:rPr>
          <w:color w:val="auto"/>
        </w:rPr>
        <w:t xml:space="preserve">the General Fund Repairs and Maintenance </w:t>
      </w:r>
      <w:r w:rsidR="006C1250">
        <w:rPr>
          <w:color w:val="auto"/>
        </w:rPr>
        <w:t>reserve</w:t>
      </w:r>
      <w:r w:rsidR="00046505">
        <w:rPr>
          <w:color w:val="auto"/>
        </w:rPr>
        <w:t xml:space="preserve"> and capital financing reserve</w:t>
      </w:r>
      <w:r w:rsidR="006C1250">
        <w:rPr>
          <w:color w:val="auto"/>
        </w:rPr>
        <w:t xml:space="preserve"> to cover the expenditure relating to Citizens Assembly, climate change and Town Hall surveys and works.</w:t>
      </w:r>
    </w:p>
    <w:p w:rsidR="002D4A0A" w:rsidRPr="003321B6" w:rsidRDefault="002D4A0A" w:rsidP="006C1250">
      <w:pPr>
        <w:pStyle w:val="ListParagraph"/>
        <w:numPr>
          <w:ilvl w:val="0"/>
          <w:numId w:val="0"/>
        </w:numPr>
        <w:ind w:left="1800"/>
        <w:rPr>
          <w:color w:val="auto"/>
        </w:rPr>
      </w:pPr>
    </w:p>
    <w:p w:rsidR="008D5B32" w:rsidRPr="004722D2" w:rsidRDefault="008D5B32" w:rsidP="008D5B32">
      <w:pPr>
        <w:pStyle w:val="ListParagraph"/>
        <w:numPr>
          <w:ilvl w:val="0"/>
          <w:numId w:val="0"/>
        </w:numPr>
        <w:rPr>
          <w:b/>
          <w:color w:val="auto"/>
        </w:rPr>
      </w:pPr>
      <w:r w:rsidRPr="004722D2">
        <w:rPr>
          <w:rFonts w:eastAsia="Calibri" w:cs="Arial"/>
          <w:b/>
          <w:color w:val="auto"/>
        </w:rPr>
        <w:t>Housing Revenue Account</w:t>
      </w:r>
    </w:p>
    <w:p w:rsidR="0005443F" w:rsidRPr="004722D2" w:rsidRDefault="00D9004B" w:rsidP="005570B5">
      <w:pPr>
        <w:pStyle w:val="ListParagraph"/>
        <w:rPr>
          <w:color w:val="auto"/>
        </w:rPr>
      </w:pPr>
      <w:r w:rsidRPr="004722D2">
        <w:rPr>
          <w:color w:val="auto"/>
        </w:rPr>
        <w:t xml:space="preserve">The budgeted </w:t>
      </w:r>
      <w:r w:rsidR="004722D2" w:rsidRPr="004722D2">
        <w:rPr>
          <w:color w:val="auto"/>
        </w:rPr>
        <w:t>surplus</w:t>
      </w:r>
      <w:r w:rsidRPr="004722D2">
        <w:rPr>
          <w:color w:val="auto"/>
        </w:rPr>
        <w:t xml:space="preserve"> agreed at Council in February 201</w:t>
      </w:r>
      <w:r w:rsidR="004722D2" w:rsidRPr="004722D2">
        <w:rPr>
          <w:color w:val="auto"/>
        </w:rPr>
        <w:t>9</w:t>
      </w:r>
      <w:r w:rsidRPr="004722D2">
        <w:rPr>
          <w:color w:val="auto"/>
        </w:rPr>
        <w:t xml:space="preserve"> was </w:t>
      </w:r>
      <w:r w:rsidR="008D7BF9">
        <w:rPr>
          <w:color w:val="auto"/>
        </w:rPr>
        <w:t xml:space="preserve">£0.492 million.  A revision to the HRA budget and Business plan was </w:t>
      </w:r>
      <w:r w:rsidR="00C512A1">
        <w:rPr>
          <w:color w:val="auto"/>
        </w:rPr>
        <w:t>approved by</w:t>
      </w:r>
      <w:r w:rsidR="008D7BF9">
        <w:rPr>
          <w:color w:val="auto"/>
        </w:rPr>
        <w:t xml:space="preserve"> Cabinet on the 29</w:t>
      </w:r>
      <w:r w:rsidR="008D7BF9" w:rsidRPr="00AF7460">
        <w:rPr>
          <w:color w:val="auto"/>
          <w:vertAlign w:val="superscript"/>
        </w:rPr>
        <w:t>th</w:t>
      </w:r>
      <w:r w:rsidR="008D7BF9">
        <w:rPr>
          <w:color w:val="auto"/>
        </w:rPr>
        <w:t xml:space="preserve"> May which outlined and requested approval for the change in budget to reflect the </w:t>
      </w:r>
      <w:r w:rsidR="00C512A1">
        <w:rPr>
          <w:color w:val="auto"/>
        </w:rPr>
        <w:t xml:space="preserve">financial </w:t>
      </w:r>
      <w:r w:rsidR="008D7BF9">
        <w:rPr>
          <w:color w:val="auto"/>
        </w:rPr>
        <w:t xml:space="preserve">impact of dwellings </w:t>
      </w:r>
      <w:r w:rsidR="00C512A1">
        <w:rPr>
          <w:color w:val="auto"/>
        </w:rPr>
        <w:t xml:space="preserve">acquired by the HRA from the Councils Housing Company in terms of </w:t>
      </w:r>
      <w:r w:rsidR="008D7BF9">
        <w:rPr>
          <w:color w:val="auto"/>
        </w:rPr>
        <w:t>rental income, maintenance spend, interest payments and debt redemption</w:t>
      </w:r>
      <w:r w:rsidR="00132A6F">
        <w:rPr>
          <w:color w:val="auto"/>
        </w:rPr>
        <w:t>.</w:t>
      </w:r>
      <w:r w:rsidR="008D7BF9">
        <w:rPr>
          <w:color w:val="auto"/>
        </w:rPr>
        <w:t xml:space="preserve">  Th</w:t>
      </w:r>
      <w:r w:rsidR="00C512A1">
        <w:rPr>
          <w:color w:val="auto"/>
        </w:rPr>
        <w:t>e</w:t>
      </w:r>
      <w:r w:rsidR="008D7BF9">
        <w:rPr>
          <w:color w:val="auto"/>
        </w:rPr>
        <w:t xml:space="preserve"> revised budget</w:t>
      </w:r>
      <w:r w:rsidR="00C512A1">
        <w:rPr>
          <w:color w:val="auto"/>
        </w:rPr>
        <w:t>ed</w:t>
      </w:r>
      <w:r w:rsidR="008D7BF9">
        <w:rPr>
          <w:color w:val="auto"/>
        </w:rPr>
        <w:t xml:space="preserve"> surplus is </w:t>
      </w:r>
      <w:r w:rsidRPr="004722D2">
        <w:rPr>
          <w:color w:val="auto"/>
        </w:rPr>
        <w:t>£</w:t>
      </w:r>
      <w:r w:rsidR="008F5712" w:rsidRPr="004722D2">
        <w:rPr>
          <w:color w:val="auto"/>
        </w:rPr>
        <w:t>1.</w:t>
      </w:r>
      <w:r w:rsidR="004722D2" w:rsidRPr="004722D2">
        <w:rPr>
          <w:color w:val="auto"/>
        </w:rPr>
        <w:t>205</w:t>
      </w:r>
      <w:r w:rsidRPr="004722D2">
        <w:rPr>
          <w:color w:val="auto"/>
        </w:rPr>
        <w:t xml:space="preserve"> million</w:t>
      </w:r>
      <w:r w:rsidR="008D7BF9">
        <w:rPr>
          <w:color w:val="auto"/>
        </w:rPr>
        <w:t>, and</w:t>
      </w:r>
      <w:r w:rsidR="006C78E9">
        <w:rPr>
          <w:color w:val="auto"/>
        </w:rPr>
        <w:t xml:space="preserve"> was approved by Council on the 22</w:t>
      </w:r>
      <w:r w:rsidR="006C78E9" w:rsidRPr="00AF7460">
        <w:rPr>
          <w:color w:val="auto"/>
          <w:vertAlign w:val="superscript"/>
        </w:rPr>
        <w:t>nd</w:t>
      </w:r>
      <w:r w:rsidR="006C78E9">
        <w:rPr>
          <w:color w:val="auto"/>
        </w:rPr>
        <w:t xml:space="preserve"> July 2019.</w:t>
      </w:r>
      <w:r w:rsidR="008D7BF9">
        <w:rPr>
          <w:color w:val="auto"/>
        </w:rPr>
        <w:t xml:space="preserve"> T</w:t>
      </w:r>
      <w:r w:rsidR="008D5B32" w:rsidRPr="004722D2">
        <w:rPr>
          <w:color w:val="auto"/>
        </w:rPr>
        <w:t xml:space="preserve">he Housing Revenue </w:t>
      </w:r>
      <w:r w:rsidR="000C4C93" w:rsidRPr="004722D2">
        <w:rPr>
          <w:color w:val="auto"/>
        </w:rPr>
        <w:t xml:space="preserve">Account </w:t>
      </w:r>
      <w:r w:rsidR="004E27A6" w:rsidRPr="004722D2">
        <w:rPr>
          <w:color w:val="auto"/>
        </w:rPr>
        <w:t>is currently forecasting</w:t>
      </w:r>
      <w:r w:rsidR="008F5712" w:rsidRPr="004722D2">
        <w:rPr>
          <w:color w:val="auto"/>
        </w:rPr>
        <w:t xml:space="preserve"> a nil</w:t>
      </w:r>
      <w:r w:rsidR="008B0D2B" w:rsidRPr="004722D2">
        <w:rPr>
          <w:color w:val="auto"/>
        </w:rPr>
        <w:t xml:space="preserve"> variance </w:t>
      </w:r>
      <w:r w:rsidR="008F5712" w:rsidRPr="004722D2">
        <w:rPr>
          <w:color w:val="auto"/>
        </w:rPr>
        <w:t>against this deficit.</w:t>
      </w:r>
      <w:r w:rsidR="008B0D2B" w:rsidRPr="004722D2">
        <w:rPr>
          <w:color w:val="auto"/>
        </w:rPr>
        <w:t xml:space="preserve">  </w:t>
      </w:r>
      <w:r w:rsidR="008F5712" w:rsidRPr="004722D2">
        <w:rPr>
          <w:color w:val="auto"/>
        </w:rPr>
        <w:t xml:space="preserve">However some budget </w:t>
      </w:r>
      <w:r w:rsidR="004722D2" w:rsidRPr="004722D2">
        <w:rPr>
          <w:color w:val="auto"/>
        </w:rPr>
        <w:t>variations</w:t>
      </w:r>
      <w:r w:rsidR="008F5712" w:rsidRPr="004722D2">
        <w:rPr>
          <w:color w:val="auto"/>
        </w:rPr>
        <w:t xml:space="preserve"> have been made </w:t>
      </w:r>
      <w:r w:rsidR="004722D2" w:rsidRPr="004722D2">
        <w:rPr>
          <w:color w:val="auto"/>
        </w:rPr>
        <w:t xml:space="preserve">to realign budgets </w:t>
      </w:r>
      <w:r w:rsidR="008F5712" w:rsidRPr="004722D2">
        <w:rPr>
          <w:color w:val="auto"/>
        </w:rPr>
        <w:t>across the HRA and the most notable are:</w:t>
      </w:r>
    </w:p>
    <w:p w:rsidR="004722D2" w:rsidRPr="00AF7460" w:rsidRDefault="004722D2" w:rsidP="004722D2">
      <w:pPr>
        <w:pStyle w:val="ListParagraph"/>
        <w:numPr>
          <w:ilvl w:val="1"/>
          <w:numId w:val="35"/>
        </w:numPr>
      </w:pPr>
      <w:r w:rsidRPr="00AF7460">
        <w:t>Management and Services (stock related) – increased budget to cover the costs associated with increase</w:t>
      </w:r>
      <w:r w:rsidR="00F44049" w:rsidRPr="00AF7460">
        <w:t>d</w:t>
      </w:r>
      <w:r w:rsidRPr="00AF7460">
        <w:t xml:space="preserve"> caretaking at the </w:t>
      </w:r>
      <w:r w:rsidR="00F44049" w:rsidRPr="00AF7460">
        <w:t>t</w:t>
      </w:r>
      <w:r w:rsidRPr="00AF7460">
        <w:t>ower</w:t>
      </w:r>
      <w:r w:rsidR="00F44049" w:rsidRPr="00AF7460">
        <w:t xml:space="preserve"> blocks</w:t>
      </w:r>
      <w:r w:rsidRPr="00AF7460">
        <w:t>;</w:t>
      </w:r>
    </w:p>
    <w:p w:rsidR="004722D2" w:rsidRPr="003E2360" w:rsidRDefault="004722D2" w:rsidP="004722D2">
      <w:pPr>
        <w:pStyle w:val="ListParagraph"/>
        <w:numPr>
          <w:ilvl w:val="1"/>
          <w:numId w:val="35"/>
        </w:numPr>
        <w:contextualSpacing/>
      </w:pPr>
      <w:r w:rsidRPr="003E2360">
        <w:lastRenderedPageBreak/>
        <w:t xml:space="preserve">Other Revenue spend (stock related) – budget reduced to cover the pressures in the Management and Services and Responsive &amp; Cyclical repairs lines; </w:t>
      </w:r>
    </w:p>
    <w:p w:rsidR="004722D2" w:rsidRPr="004722D2" w:rsidRDefault="004722D2" w:rsidP="004722D2">
      <w:pPr>
        <w:pStyle w:val="ListParagraph"/>
        <w:numPr>
          <w:ilvl w:val="1"/>
          <w:numId w:val="35"/>
        </w:numPr>
        <w:contextualSpacing/>
        <w:rPr>
          <w:b/>
          <w:sz w:val="22"/>
        </w:rPr>
      </w:pPr>
      <w:r w:rsidRPr="003E2360">
        <w:t>Responsive and Cyclical repairs –increase</w:t>
      </w:r>
      <w:r w:rsidR="00F44049">
        <w:t>d</w:t>
      </w:r>
      <w:r w:rsidRPr="003E2360">
        <w:t xml:space="preserve"> budget to cover additional costs relating to security provision at the </w:t>
      </w:r>
      <w:r w:rsidR="00F44049">
        <w:t>t</w:t>
      </w:r>
      <w:r w:rsidRPr="003E2360">
        <w:t xml:space="preserve">ower </w:t>
      </w:r>
      <w:r w:rsidR="00F44049">
        <w:t xml:space="preserve">blocks </w:t>
      </w:r>
      <w:r w:rsidRPr="003E2360">
        <w:t>and costs associated with the solar panels such as repairs and meter readings.</w:t>
      </w:r>
    </w:p>
    <w:p w:rsidR="00785148" w:rsidRDefault="00785148" w:rsidP="00D0745E">
      <w:pPr>
        <w:pStyle w:val="ListParagraph"/>
        <w:numPr>
          <w:ilvl w:val="0"/>
          <w:numId w:val="0"/>
        </w:numPr>
        <w:rPr>
          <w:b/>
        </w:rPr>
      </w:pPr>
    </w:p>
    <w:p w:rsidR="00D0745E" w:rsidRDefault="00785148" w:rsidP="00D0745E">
      <w:pPr>
        <w:pStyle w:val="ListParagraph"/>
        <w:numPr>
          <w:ilvl w:val="0"/>
          <w:numId w:val="0"/>
        </w:numPr>
        <w:rPr>
          <w:b/>
        </w:rPr>
      </w:pPr>
      <w:r>
        <w:rPr>
          <w:b/>
        </w:rPr>
        <w:t>Capital</w:t>
      </w:r>
    </w:p>
    <w:p w:rsidR="00785148" w:rsidRDefault="00785148" w:rsidP="00476627">
      <w:pPr>
        <w:pStyle w:val="ListParagraph"/>
        <w:rPr>
          <w:color w:val="auto"/>
        </w:rPr>
      </w:pPr>
      <w:r>
        <w:rPr>
          <w:color w:val="auto"/>
        </w:rPr>
        <w:t>There is an exercise underway to review all capital project forecasting, with the likely outcome that there will be a reduction in the year end outturn.  Rather than include some of these revisions in the Q1 report, the full results of the exercise will be included in the Q2 report, alongside an explanation for any changes.</w:t>
      </w:r>
    </w:p>
    <w:p w:rsidR="00785148" w:rsidRPr="00785148" w:rsidRDefault="00785148" w:rsidP="00785148">
      <w:pPr>
        <w:rPr>
          <w:b/>
          <w:color w:val="auto"/>
        </w:rPr>
      </w:pPr>
      <w:r w:rsidRPr="00785148">
        <w:rPr>
          <w:b/>
          <w:color w:val="auto"/>
        </w:rPr>
        <w:t>Performance Management</w:t>
      </w:r>
    </w:p>
    <w:p w:rsidR="00D0745E" w:rsidRPr="002159FE" w:rsidRDefault="00785148" w:rsidP="00476627">
      <w:pPr>
        <w:pStyle w:val="ListParagraph"/>
        <w:rPr>
          <w:color w:val="auto"/>
        </w:rPr>
      </w:pPr>
      <w:r>
        <w:rPr>
          <w:color w:val="auto"/>
        </w:rPr>
        <w:t>T</w:t>
      </w:r>
      <w:r w:rsidR="00D0745E" w:rsidRPr="002159FE">
        <w:rPr>
          <w:color w:val="auto"/>
        </w:rPr>
        <w:t xml:space="preserve">here are </w:t>
      </w:r>
      <w:r w:rsidR="002159FE" w:rsidRPr="002159FE">
        <w:rPr>
          <w:color w:val="auto"/>
        </w:rPr>
        <w:t>nine</w:t>
      </w:r>
      <w:r w:rsidR="00D0745E" w:rsidRPr="002159FE">
        <w:rPr>
          <w:color w:val="auto"/>
        </w:rPr>
        <w:t xml:space="preserve"> corporate </w:t>
      </w:r>
      <w:r w:rsidR="00D0745E" w:rsidRPr="002159FE">
        <w:rPr>
          <w:rFonts w:eastAsia="Calibri" w:cs="Arial"/>
          <w:color w:val="auto"/>
        </w:rPr>
        <w:t xml:space="preserve">performance measures that are monitored during the year. </w:t>
      </w:r>
      <w:r w:rsidR="00C512A1">
        <w:rPr>
          <w:rFonts w:eastAsia="Calibri" w:cs="Arial"/>
          <w:color w:val="auto"/>
        </w:rPr>
        <w:t xml:space="preserve">Of these 9 indicators, </w:t>
      </w:r>
      <w:r w:rsidR="00197C34">
        <w:rPr>
          <w:rFonts w:eastAsia="Calibri" w:cs="Arial"/>
          <w:color w:val="auto"/>
        </w:rPr>
        <w:t>5</w:t>
      </w:r>
      <w:r w:rsidR="00D0745E" w:rsidRPr="002159FE">
        <w:rPr>
          <w:rFonts w:eastAsia="Calibri" w:cs="Arial"/>
          <w:color w:val="auto"/>
        </w:rPr>
        <w:t xml:space="preserve"> (</w:t>
      </w:r>
      <w:r w:rsidR="00197C34">
        <w:rPr>
          <w:rFonts w:eastAsia="Calibri" w:cs="Arial"/>
          <w:color w:val="auto"/>
        </w:rPr>
        <w:t>56</w:t>
      </w:r>
      <w:r w:rsidR="00D0745E" w:rsidRPr="002159FE">
        <w:rPr>
          <w:rFonts w:eastAsia="Calibri" w:cs="Arial"/>
          <w:color w:val="auto"/>
        </w:rPr>
        <w:t xml:space="preserve">%) are being delivered as planned, </w:t>
      </w:r>
      <w:r w:rsidR="002159FE" w:rsidRPr="002159FE">
        <w:rPr>
          <w:rFonts w:eastAsia="Calibri" w:cs="Arial"/>
          <w:color w:val="auto"/>
        </w:rPr>
        <w:t>two</w:t>
      </w:r>
      <w:r w:rsidR="00D0745E" w:rsidRPr="002159FE">
        <w:rPr>
          <w:rFonts w:eastAsia="Calibri" w:cs="Arial"/>
          <w:color w:val="auto"/>
        </w:rPr>
        <w:t xml:space="preserve"> (</w:t>
      </w:r>
      <w:r w:rsidR="002159FE" w:rsidRPr="002159FE">
        <w:rPr>
          <w:rFonts w:eastAsia="Calibri" w:cs="Arial"/>
          <w:color w:val="auto"/>
        </w:rPr>
        <w:t>22</w:t>
      </w:r>
      <w:r w:rsidR="00D0745E" w:rsidRPr="002159FE">
        <w:rPr>
          <w:rFonts w:eastAsia="Calibri" w:cs="Arial"/>
          <w:color w:val="auto"/>
        </w:rPr>
        <w:t xml:space="preserve">%) are below target but within acceptable tolerance limits, and </w:t>
      </w:r>
      <w:r w:rsidR="002159FE" w:rsidRPr="002159FE">
        <w:rPr>
          <w:rFonts w:eastAsia="Calibri" w:cs="Arial"/>
          <w:color w:val="auto"/>
        </w:rPr>
        <w:t>one</w:t>
      </w:r>
      <w:r w:rsidR="00D0745E" w:rsidRPr="002159FE">
        <w:rPr>
          <w:rFonts w:eastAsia="Calibri" w:cs="Arial"/>
          <w:color w:val="auto"/>
        </w:rPr>
        <w:t xml:space="preserve"> (1</w:t>
      </w:r>
      <w:r w:rsidR="00197C34">
        <w:rPr>
          <w:rFonts w:eastAsia="Calibri" w:cs="Arial"/>
          <w:color w:val="auto"/>
        </w:rPr>
        <w:t>1</w:t>
      </w:r>
      <w:r w:rsidR="00D0745E" w:rsidRPr="002159FE">
        <w:rPr>
          <w:rFonts w:eastAsia="Calibri" w:cs="Arial"/>
          <w:color w:val="auto"/>
        </w:rPr>
        <w:t xml:space="preserve">%) </w:t>
      </w:r>
      <w:r w:rsidR="002D1679">
        <w:rPr>
          <w:rFonts w:eastAsia="Calibri" w:cs="Arial"/>
          <w:color w:val="auto"/>
        </w:rPr>
        <w:t>is</w:t>
      </w:r>
      <w:r w:rsidR="00D0745E" w:rsidRPr="002159FE">
        <w:rPr>
          <w:rFonts w:eastAsia="Calibri" w:cs="Arial"/>
          <w:color w:val="auto"/>
        </w:rPr>
        <w:t xml:space="preserve"> at risk of not meeting their target.</w:t>
      </w:r>
    </w:p>
    <w:p w:rsidR="009C59F4" w:rsidRPr="002E033A" w:rsidRDefault="00197C34" w:rsidP="00476627">
      <w:pPr>
        <w:pStyle w:val="ListParagraph"/>
        <w:rPr>
          <w:color w:val="auto"/>
        </w:rPr>
      </w:pPr>
      <w:r>
        <w:rPr>
          <w:color w:val="auto"/>
        </w:rPr>
        <w:t>One</w:t>
      </w:r>
      <w:r w:rsidRPr="002E033A">
        <w:rPr>
          <w:color w:val="auto"/>
        </w:rPr>
        <w:t xml:space="preserve"> </w:t>
      </w:r>
      <w:r>
        <w:rPr>
          <w:color w:val="auto"/>
        </w:rPr>
        <w:t>(11</w:t>
      </w:r>
      <w:r w:rsidR="009C59F4" w:rsidRPr="002E033A">
        <w:rPr>
          <w:color w:val="auto"/>
        </w:rPr>
        <w:t xml:space="preserve">%) of the measures </w:t>
      </w:r>
      <w:r>
        <w:rPr>
          <w:color w:val="auto"/>
        </w:rPr>
        <w:t>is</w:t>
      </w:r>
      <w:r w:rsidRPr="002E033A">
        <w:rPr>
          <w:color w:val="auto"/>
        </w:rPr>
        <w:t xml:space="preserve"> </w:t>
      </w:r>
      <w:r w:rsidR="009C59F4" w:rsidRPr="002E033A">
        <w:rPr>
          <w:color w:val="auto"/>
        </w:rPr>
        <w:t>curr</w:t>
      </w:r>
      <w:r w:rsidR="00132A6F">
        <w:rPr>
          <w:color w:val="auto"/>
        </w:rPr>
        <w:t>ently showing no data available</w:t>
      </w:r>
      <w:r w:rsidR="009C59F4" w:rsidRPr="002E033A">
        <w:rPr>
          <w:color w:val="auto"/>
        </w:rPr>
        <w:t xml:space="preserve">.  </w:t>
      </w:r>
      <w:r>
        <w:rPr>
          <w:color w:val="auto"/>
        </w:rPr>
        <w:t>This relates</w:t>
      </w:r>
      <w:r w:rsidR="009C59F4" w:rsidRPr="002E033A">
        <w:rPr>
          <w:color w:val="auto"/>
        </w:rPr>
        <w:t xml:space="preserve"> </w:t>
      </w:r>
      <w:r w:rsidR="005865ED" w:rsidRPr="002E033A">
        <w:rPr>
          <w:color w:val="auto"/>
        </w:rPr>
        <w:t xml:space="preserve">to the </w:t>
      </w:r>
      <w:r w:rsidR="002159FE" w:rsidRPr="002E033A">
        <w:rPr>
          <w:color w:val="auto"/>
        </w:rPr>
        <w:t>number of new homes granted permission in the city</w:t>
      </w:r>
      <w:r w:rsidR="002E033A" w:rsidRPr="002E033A">
        <w:rPr>
          <w:color w:val="auto"/>
        </w:rPr>
        <w:t>.  No data update ha</w:t>
      </w:r>
      <w:r>
        <w:rPr>
          <w:color w:val="auto"/>
        </w:rPr>
        <w:t>s</w:t>
      </w:r>
      <w:r w:rsidR="002E033A" w:rsidRPr="002E033A">
        <w:rPr>
          <w:color w:val="auto"/>
        </w:rPr>
        <w:t xml:space="preserve"> been provided for </w:t>
      </w:r>
      <w:r>
        <w:rPr>
          <w:color w:val="auto"/>
        </w:rPr>
        <w:t>this</w:t>
      </w:r>
      <w:r w:rsidRPr="002E033A">
        <w:rPr>
          <w:color w:val="auto"/>
        </w:rPr>
        <w:t xml:space="preserve"> </w:t>
      </w:r>
      <w:r w:rsidR="002E033A" w:rsidRPr="002E033A">
        <w:rPr>
          <w:color w:val="auto"/>
        </w:rPr>
        <w:t>measure in time for this report.</w:t>
      </w:r>
    </w:p>
    <w:p w:rsidR="00476627" w:rsidRPr="002E033A" w:rsidRDefault="00476627" w:rsidP="00476627">
      <w:pPr>
        <w:pStyle w:val="ListParagraph"/>
        <w:rPr>
          <w:color w:val="auto"/>
        </w:rPr>
      </w:pPr>
      <w:r w:rsidRPr="002E033A">
        <w:rPr>
          <w:color w:val="auto"/>
        </w:rPr>
        <w:t xml:space="preserve">Of the </w:t>
      </w:r>
      <w:r w:rsidR="00132A6F">
        <w:rPr>
          <w:color w:val="auto"/>
        </w:rPr>
        <w:t>five</w:t>
      </w:r>
      <w:r w:rsidRPr="002E033A">
        <w:rPr>
          <w:color w:val="auto"/>
        </w:rPr>
        <w:t xml:space="preserve"> that are being delivered </w:t>
      </w:r>
      <w:r w:rsidRPr="002E033A">
        <w:rPr>
          <w:rFonts w:eastAsia="Calibri" w:cs="Arial"/>
          <w:color w:val="auto"/>
        </w:rPr>
        <w:t xml:space="preserve">as planned, one relates to </w:t>
      </w:r>
      <w:r w:rsidR="005865ED" w:rsidRPr="002E033A">
        <w:rPr>
          <w:rFonts w:eastAsia="Calibri" w:cs="Arial"/>
          <w:color w:val="auto"/>
        </w:rPr>
        <w:t>Cleaner Greener Oxford</w:t>
      </w:r>
      <w:r w:rsidR="00132A6F">
        <w:rPr>
          <w:rFonts w:eastAsia="Calibri" w:cs="Arial"/>
          <w:color w:val="auto"/>
        </w:rPr>
        <w:t>, two to Meeting Housing Needs</w:t>
      </w:r>
      <w:r w:rsidR="005865ED" w:rsidRPr="002E033A">
        <w:rPr>
          <w:rFonts w:eastAsia="Calibri" w:cs="Arial"/>
          <w:color w:val="auto"/>
        </w:rPr>
        <w:t xml:space="preserve"> and two</w:t>
      </w:r>
      <w:r w:rsidRPr="002E033A">
        <w:rPr>
          <w:rFonts w:eastAsia="Calibri" w:cs="Arial"/>
          <w:color w:val="auto"/>
        </w:rPr>
        <w:t xml:space="preserve"> to an Efficient and Effective Council.</w:t>
      </w:r>
    </w:p>
    <w:p w:rsidR="00476627" w:rsidRPr="002E033A" w:rsidRDefault="00476627" w:rsidP="00476627">
      <w:pPr>
        <w:pStyle w:val="ListParagraph"/>
        <w:rPr>
          <w:color w:val="auto"/>
        </w:rPr>
      </w:pPr>
      <w:r w:rsidRPr="002E033A">
        <w:rPr>
          <w:color w:val="auto"/>
        </w:rPr>
        <w:t xml:space="preserve">The </w:t>
      </w:r>
      <w:r w:rsidR="002E033A" w:rsidRPr="002E033A">
        <w:rPr>
          <w:color w:val="auto"/>
        </w:rPr>
        <w:t>measure that is</w:t>
      </w:r>
      <w:r w:rsidRPr="002E033A">
        <w:rPr>
          <w:color w:val="auto"/>
        </w:rPr>
        <w:t xml:space="preserve"> not meeting </w:t>
      </w:r>
      <w:r w:rsidR="002E033A" w:rsidRPr="002E033A">
        <w:rPr>
          <w:color w:val="auto"/>
        </w:rPr>
        <w:t>its</w:t>
      </w:r>
      <w:r w:rsidRPr="002E033A">
        <w:rPr>
          <w:color w:val="auto"/>
        </w:rPr>
        <w:t xml:space="preserve"> targets </w:t>
      </w:r>
      <w:r w:rsidR="002E033A" w:rsidRPr="002E033A">
        <w:rPr>
          <w:color w:val="auto"/>
        </w:rPr>
        <w:t>is</w:t>
      </w:r>
      <w:r w:rsidRPr="002E033A">
        <w:rPr>
          <w:color w:val="auto"/>
        </w:rPr>
        <w:t xml:space="preserve"> as follows:</w:t>
      </w:r>
    </w:p>
    <w:p w:rsidR="002E033A" w:rsidRPr="002E033A" w:rsidRDefault="00476627" w:rsidP="002E033A">
      <w:pPr>
        <w:pStyle w:val="ListParagraph"/>
        <w:numPr>
          <w:ilvl w:val="0"/>
          <w:numId w:val="26"/>
        </w:numPr>
        <w:rPr>
          <w:b/>
          <w:color w:val="auto"/>
        </w:rPr>
      </w:pPr>
      <w:r w:rsidRPr="002E033A">
        <w:rPr>
          <w:b/>
          <w:color w:val="auto"/>
        </w:rPr>
        <w:t xml:space="preserve">Number of </w:t>
      </w:r>
      <w:r w:rsidR="002E033A" w:rsidRPr="002E033A">
        <w:rPr>
          <w:b/>
          <w:color w:val="auto"/>
        </w:rPr>
        <w:t>people from our target groups using our leisure facilities</w:t>
      </w:r>
      <w:r w:rsidRPr="002E033A">
        <w:rPr>
          <w:b/>
          <w:color w:val="auto"/>
        </w:rPr>
        <w:t xml:space="preserve"> </w:t>
      </w:r>
      <w:r w:rsidRPr="002E033A">
        <w:rPr>
          <w:color w:val="auto"/>
        </w:rPr>
        <w:t xml:space="preserve">– Target of </w:t>
      </w:r>
      <w:r w:rsidR="002E033A" w:rsidRPr="002E033A">
        <w:rPr>
          <w:color w:val="auto"/>
        </w:rPr>
        <w:t>199</w:t>
      </w:r>
      <w:r w:rsidR="00EC2343">
        <w:rPr>
          <w:color w:val="auto"/>
        </w:rPr>
        <w:t>,</w:t>
      </w:r>
      <w:r w:rsidR="002E033A" w:rsidRPr="002E033A">
        <w:rPr>
          <w:color w:val="auto"/>
        </w:rPr>
        <w:t>700</w:t>
      </w:r>
      <w:r w:rsidRPr="002E033A">
        <w:rPr>
          <w:color w:val="auto"/>
        </w:rPr>
        <w:t xml:space="preserve"> and an actual of </w:t>
      </w:r>
      <w:r w:rsidR="002E033A" w:rsidRPr="002E033A">
        <w:rPr>
          <w:color w:val="auto"/>
        </w:rPr>
        <w:t>189</w:t>
      </w:r>
      <w:r w:rsidR="00EC2343">
        <w:rPr>
          <w:color w:val="auto"/>
        </w:rPr>
        <w:t>,</w:t>
      </w:r>
      <w:r w:rsidR="002E033A" w:rsidRPr="002E033A">
        <w:rPr>
          <w:color w:val="auto"/>
        </w:rPr>
        <w:t>326</w:t>
      </w:r>
      <w:r w:rsidRPr="002E033A">
        <w:rPr>
          <w:color w:val="auto"/>
        </w:rPr>
        <w:t xml:space="preserve"> for the first quarter.</w:t>
      </w:r>
      <w:r w:rsidR="005865ED" w:rsidRPr="002E033A">
        <w:rPr>
          <w:color w:val="auto"/>
        </w:rPr>
        <w:t xml:space="preserve">  </w:t>
      </w:r>
      <w:r w:rsidR="002E033A" w:rsidRPr="002E033A">
        <w:rPr>
          <w:color w:val="auto"/>
        </w:rPr>
        <w:t>Officers are working with Fusion and closely monitoring their delivery approach to increase the number of visits.</w:t>
      </w:r>
    </w:p>
    <w:p w:rsidR="00476627" w:rsidRPr="002E033A" w:rsidRDefault="002E033A" w:rsidP="002E033A">
      <w:pPr>
        <w:pStyle w:val="ListParagraph"/>
        <w:numPr>
          <w:ilvl w:val="0"/>
          <w:numId w:val="0"/>
        </w:numPr>
        <w:ind w:left="426" w:hanging="426"/>
        <w:rPr>
          <w:b/>
          <w:color w:val="auto"/>
        </w:rPr>
      </w:pPr>
      <w:r w:rsidRPr="002E033A">
        <w:rPr>
          <w:b/>
          <w:color w:val="auto"/>
        </w:rPr>
        <w:t xml:space="preserve"> </w:t>
      </w:r>
      <w:r w:rsidR="00476627" w:rsidRPr="002E033A">
        <w:rPr>
          <w:b/>
          <w:color w:val="auto"/>
        </w:rPr>
        <w:t>Corporate Risk</w:t>
      </w:r>
    </w:p>
    <w:p w:rsidR="00A11423" w:rsidRPr="007F0928" w:rsidRDefault="00A11423" w:rsidP="00802422">
      <w:pPr>
        <w:pStyle w:val="ListParagraph"/>
        <w:rPr>
          <w:color w:val="auto"/>
        </w:rPr>
      </w:pPr>
      <w:r w:rsidRPr="007F0928">
        <w:rPr>
          <w:color w:val="auto"/>
        </w:rPr>
        <w:t>There is one red risk on the current Corporate Risk register, which relates to</w:t>
      </w:r>
      <w:r w:rsidRPr="007F0928">
        <w:rPr>
          <w:rFonts w:cs="Arial"/>
          <w:color w:val="auto"/>
        </w:rPr>
        <w:t xml:space="preserve"> Housing</w:t>
      </w:r>
      <w:r>
        <w:rPr>
          <w:rFonts w:cs="Arial"/>
          <w:color w:val="auto"/>
        </w:rPr>
        <w:t xml:space="preserve">, and ensuring housing delivery and supply for the City and enabling </w:t>
      </w:r>
      <w:r w:rsidRPr="007F0928">
        <w:rPr>
          <w:rFonts w:cs="Arial"/>
          <w:color w:val="auto"/>
        </w:rPr>
        <w:t>sufficient house building and investment</w:t>
      </w:r>
      <w:r w:rsidR="007F0928" w:rsidRPr="007F0928">
        <w:rPr>
          <w:rFonts w:cs="Arial"/>
          <w:color w:val="auto"/>
        </w:rPr>
        <w:t xml:space="preserve">. </w:t>
      </w:r>
      <w:r w:rsidR="007F0928">
        <w:rPr>
          <w:rFonts w:cs="Arial"/>
          <w:color w:val="auto"/>
        </w:rPr>
        <w:t>There are ten amber risks and one green risk.</w:t>
      </w:r>
    </w:p>
    <w:p w:rsidR="00802422" w:rsidRPr="007F0928" w:rsidRDefault="007F0928" w:rsidP="00802422">
      <w:pPr>
        <w:pStyle w:val="ListParagraph"/>
        <w:rPr>
          <w:color w:val="auto"/>
        </w:rPr>
      </w:pPr>
      <w:r w:rsidRPr="007F0928">
        <w:rPr>
          <w:color w:val="auto"/>
        </w:rPr>
        <w:t xml:space="preserve"> </w:t>
      </w:r>
      <w:r w:rsidR="00A11423" w:rsidRPr="007F0928">
        <w:rPr>
          <w:color w:val="auto"/>
        </w:rPr>
        <w:t>Operational Delivery Group and CMT</w:t>
      </w:r>
      <w:r w:rsidRPr="007F0928">
        <w:rPr>
          <w:color w:val="auto"/>
        </w:rPr>
        <w:t xml:space="preserve"> are undertaking a review off all corporate risks to ensure that they capture the current risk appetite of the organisation.  This review will be reported in the next quarterly report.</w:t>
      </w:r>
    </w:p>
    <w:p w:rsidR="009559D8" w:rsidRPr="00406DD2" w:rsidRDefault="009559D8" w:rsidP="009559D8">
      <w:pPr>
        <w:pStyle w:val="Heading1"/>
        <w:rPr>
          <w:color w:val="auto"/>
        </w:rPr>
      </w:pPr>
      <w:r w:rsidRPr="00406DD2">
        <w:rPr>
          <w:color w:val="auto"/>
        </w:rPr>
        <w:t>Financial implications</w:t>
      </w:r>
    </w:p>
    <w:p w:rsidR="004F260A" w:rsidRPr="00406DD2" w:rsidRDefault="004F260A" w:rsidP="00476627">
      <w:pPr>
        <w:pStyle w:val="ListParagraph"/>
        <w:rPr>
          <w:color w:val="auto"/>
        </w:rPr>
      </w:pPr>
      <w:r w:rsidRPr="00406DD2">
        <w:rPr>
          <w:color w:val="auto"/>
        </w:rPr>
        <w:t>All financial implications are covered in the body of this report and the Appendices.</w:t>
      </w:r>
    </w:p>
    <w:p w:rsidR="0040736F" w:rsidRPr="00406DD2" w:rsidRDefault="00DA614B" w:rsidP="004A6D2F">
      <w:pPr>
        <w:pStyle w:val="Heading1"/>
        <w:rPr>
          <w:color w:val="auto"/>
        </w:rPr>
      </w:pPr>
      <w:r w:rsidRPr="00406DD2">
        <w:rPr>
          <w:color w:val="auto"/>
        </w:rPr>
        <w:t>Legal issues</w:t>
      </w:r>
    </w:p>
    <w:p w:rsidR="00E87F7A" w:rsidRPr="00406DD2" w:rsidRDefault="00256350" w:rsidP="00476627">
      <w:pPr>
        <w:pStyle w:val="ListParagraph"/>
        <w:rPr>
          <w:color w:val="auto"/>
        </w:rPr>
      </w:pPr>
      <w:r w:rsidRPr="00406DD2">
        <w:rPr>
          <w:color w:val="auto"/>
        </w:rPr>
        <w:t>There are no legal implications directly relevant to this report</w:t>
      </w:r>
      <w:r w:rsidR="00E87F7A" w:rsidRPr="00406DD2">
        <w:rPr>
          <w:color w:val="auto"/>
        </w:rPr>
        <w:t>.</w:t>
      </w:r>
    </w:p>
    <w:p w:rsidR="002329CF" w:rsidRPr="00406DD2" w:rsidRDefault="002329CF" w:rsidP="004A6D2F">
      <w:pPr>
        <w:pStyle w:val="Heading1"/>
        <w:rPr>
          <w:color w:val="auto"/>
        </w:rPr>
      </w:pPr>
      <w:r w:rsidRPr="00406DD2">
        <w:rPr>
          <w:color w:val="auto"/>
        </w:rPr>
        <w:t>Level of risk</w:t>
      </w:r>
    </w:p>
    <w:p w:rsidR="00BC69A4" w:rsidRPr="00406DD2" w:rsidRDefault="00256350" w:rsidP="00476627">
      <w:pPr>
        <w:pStyle w:val="ListParagraph"/>
        <w:rPr>
          <w:color w:val="auto"/>
        </w:rPr>
      </w:pPr>
      <w:r w:rsidRPr="00406DD2">
        <w:rPr>
          <w:color w:val="auto"/>
        </w:rPr>
        <w:t>All risk implications are covered in the body of this report and the Appendices.</w:t>
      </w:r>
    </w:p>
    <w:p w:rsidR="002329CF" w:rsidRPr="00406DD2" w:rsidRDefault="002329CF" w:rsidP="0050321C">
      <w:pPr>
        <w:pStyle w:val="Heading1"/>
        <w:rPr>
          <w:color w:val="auto"/>
        </w:rPr>
      </w:pPr>
      <w:r w:rsidRPr="00406DD2">
        <w:rPr>
          <w:color w:val="auto"/>
        </w:rPr>
        <w:lastRenderedPageBreak/>
        <w:t xml:space="preserve">Equalities impact </w:t>
      </w:r>
    </w:p>
    <w:p w:rsidR="00E206D6" w:rsidRPr="00406DD2" w:rsidRDefault="00256350" w:rsidP="00476627">
      <w:pPr>
        <w:pStyle w:val="ListParagraph"/>
        <w:rPr>
          <w:color w:val="auto"/>
        </w:rPr>
      </w:pPr>
      <w:r w:rsidRPr="00406DD2">
        <w:rPr>
          <w:color w:val="auto"/>
        </w:rPr>
        <w:t>There are no equalities impacts arising directly from this report.</w:t>
      </w:r>
    </w:p>
    <w:p w:rsidR="002329CF" w:rsidRPr="00406DD2"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406DD2"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06DD2" w:rsidRDefault="00E87F7A" w:rsidP="00A46E98">
            <w:pPr>
              <w:rPr>
                <w:b/>
                <w:color w:val="auto"/>
              </w:rPr>
            </w:pPr>
            <w:r w:rsidRPr="00406DD2">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06DD2" w:rsidRDefault="00256350" w:rsidP="00A46E98">
            <w:pPr>
              <w:rPr>
                <w:color w:val="auto"/>
              </w:rPr>
            </w:pPr>
            <w:r w:rsidRPr="00406DD2">
              <w:rPr>
                <w:color w:val="auto"/>
              </w:rPr>
              <w:t xml:space="preserve">Nigel Kennedy </w:t>
            </w:r>
          </w:p>
          <w:p w:rsidR="00256350" w:rsidRPr="00406DD2" w:rsidRDefault="00256350" w:rsidP="00256350">
            <w:pPr>
              <w:rPr>
                <w:color w:val="auto"/>
              </w:rPr>
            </w:pPr>
            <w:r w:rsidRPr="00406DD2">
              <w:rPr>
                <w:color w:val="auto"/>
              </w:rPr>
              <w:t>Helen Bishop</w:t>
            </w:r>
          </w:p>
        </w:tc>
      </w:tr>
      <w:tr w:rsidR="00DF093E" w:rsidRPr="00406DD2"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06DD2" w:rsidRDefault="00E87F7A" w:rsidP="00A46E98">
            <w:pPr>
              <w:rPr>
                <w:color w:val="auto"/>
              </w:rPr>
            </w:pPr>
            <w:r w:rsidRPr="00406DD2">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406DD2" w:rsidRDefault="00256350" w:rsidP="00A46E98">
            <w:pPr>
              <w:rPr>
                <w:color w:val="auto"/>
              </w:rPr>
            </w:pPr>
            <w:r w:rsidRPr="00406DD2">
              <w:rPr>
                <w:color w:val="auto"/>
              </w:rPr>
              <w:t>Head of Financial Services</w:t>
            </w:r>
          </w:p>
          <w:p w:rsidR="00256350" w:rsidRPr="00406DD2" w:rsidRDefault="00256350" w:rsidP="00A46E98">
            <w:pPr>
              <w:rPr>
                <w:color w:val="auto"/>
              </w:rPr>
            </w:pPr>
            <w:r w:rsidRPr="00406DD2">
              <w:rPr>
                <w:color w:val="auto"/>
              </w:rPr>
              <w:t>Head of Business Improvement</w:t>
            </w:r>
          </w:p>
        </w:tc>
      </w:tr>
      <w:tr w:rsidR="00DF093E" w:rsidRPr="00406DD2" w:rsidTr="00A46E98">
        <w:trPr>
          <w:cantSplit/>
          <w:trHeight w:val="396"/>
        </w:trPr>
        <w:tc>
          <w:tcPr>
            <w:tcW w:w="3969" w:type="dxa"/>
            <w:tcBorders>
              <w:top w:val="nil"/>
              <w:left w:val="single" w:sz="8" w:space="0" w:color="000000"/>
              <w:bottom w:val="nil"/>
              <w:right w:val="nil"/>
            </w:tcBorders>
            <w:shd w:val="clear" w:color="auto" w:fill="auto"/>
          </w:tcPr>
          <w:p w:rsidR="00E87F7A" w:rsidRPr="00406DD2" w:rsidRDefault="00E87F7A" w:rsidP="00A46E98">
            <w:pPr>
              <w:rPr>
                <w:color w:val="auto"/>
              </w:rPr>
            </w:pPr>
            <w:r w:rsidRPr="00406DD2">
              <w:rPr>
                <w:color w:val="auto"/>
              </w:rPr>
              <w:t>Service area or department</w:t>
            </w:r>
          </w:p>
        </w:tc>
        <w:tc>
          <w:tcPr>
            <w:tcW w:w="4962" w:type="dxa"/>
            <w:tcBorders>
              <w:top w:val="nil"/>
              <w:left w:val="nil"/>
              <w:bottom w:val="nil"/>
              <w:right w:val="single" w:sz="8" w:space="0" w:color="000000"/>
            </w:tcBorders>
            <w:shd w:val="clear" w:color="auto" w:fill="auto"/>
          </w:tcPr>
          <w:p w:rsidR="00E87F7A" w:rsidRPr="00406DD2" w:rsidRDefault="00256350" w:rsidP="00A46E98">
            <w:pPr>
              <w:rPr>
                <w:color w:val="auto"/>
              </w:rPr>
            </w:pPr>
            <w:r w:rsidRPr="00406DD2">
              <w:rPr>
                <w:color w:val="auto"/>
              </w:rPr>
              <w:t>Financial Services/Business Improvement</w:t>
            </w:r>
          </w:p>
        </w:tc>
      </w:tr>
      <w:tr w:rsidR="00DF093E" w:rsidRPr="00406DD2" w:rsidTr="00A46E98">
        <w:trPr>
          <w:cantSplit/>
          <w:trHeight w:val="396"/>
        </w:trPr>
        <w:tc>
          <w:tcPr>
            <w:tcW w:w="3969" w:type="dxa"/>
            <w:tcBorders>
              <w:top w:val="nil"/>
              <w:left w:val="single" w:sz="8" w:space="0" w:color="000000"/>
              <w:bottom w:val="nil"/>
              <w:right w:val="nil"/>
            </w:tcBorders>
            <w:shd w:val="clear" w:color="auto" w:fill="auto"/>
          </w:tcPr>
          <w:p w:rsidR="00E87F7A" w:rsidRPr="00406DD2" w:rsidRDefault="00E87F7A" w:rsidP="00A46E98">
            <w:pPr>
              <w:rPr>
                <w:color w:val="auto"/>
              </w:rPr>
            </w:pPr>
            <w:r w:rsidRPr="00406DD2">
              <w:rPr>
                <w:color w:val="auto"/>
              </w:rPr>
              <w:t xml:space="preserve">Telephone </w:t>
            </w:r>
          </w:p>
        </w:tc>
        <w:tc>
          <w:tcPr>
            <w:tcW w:w="4962" w:type="dxa"/>
            <w:tcBorders>
              <w:top w:val="nil"/>
              <w:left w:val="nil"/>
              <w:bottom w:val="nil"/>
              <w:right w:val="single" w:sz="8" w:space="0" w:color="000000"/>
            </w:tcBorders>
            <w:shd w:val="clear" w:color="auto" w:fill="auto"/>
          </w:tcPr>
          <w:p w:rsidR="00E87F7A" w:rsidRPr="00406DD2" w:rsidRDefault="00256350" w:rsidP="00256350">
            <w:pPr>
              <w:rPr>
                <w:color w:val="auto"/>
              </w:rPr>
            </w:pPr>
            <w:r w:rsidRPr="00406DD2">
              <w:rPr>
                <w:color w:val="auto"/>
              </w:rPr>
              <w:t>01865 252708</w:t>
            </w:r>
            <w:r w:rsidR="00E87F7A" w:rsidRPr="00406DD2">
              <w:rPr>
                <w:color w:val="auto"/>
              </w:rPr>
              <w:t xml:space="preserve">  </w:t>
            </w:r>
          </w:p>
        </w:tc>
      </w:tr>
      <w:tr w:rsidR="005570B5" w:rsidRPr="00406DD2"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06DD2" w:rsidRDefault="00E87F7A" w:rsidP="00A46E98">
            <w:pPr>
              <w:rPr>
                <w:color w:val="auto"/>
              </w:rPr>
            </w:pPr>
            <w:r w:rsidRPr="00406DD2">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406DD2" w:rsidRDefault="00256350" w:rsidP="00A46E98">
            <w:pPr>
              <w:rPr>
                <w:rStyle w:val="Hyperlink"/>
                <w:color w:val="auto"/>
              </w:rPr>
            </w:pPr>
            <w:r w:rsidRPr="00406DD2">
              <w:rPr>
                <w:rStyle w:val="Hyperlink"/>
                <w:color w:val="auto"/>
              </w:rPr>
              <w:t>nkennedy@oxford.gov.uk/hbishop@oxford.gov.uk</w:t>
            </w:r>
          </w:p>
        </w:tc>
      </w:tr>
    </w:tbl>
    <w:p w:rsidR="00433B96" w:rsidRPr="00406DD2"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406DD2"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406DD2" w:rsidRDefault="00182B81" w:rsidP="00F41AC1">
            <w:pPr>
              <w:rPr>
                <w:color w:val="auto"/>
              </w:rPr>
            </w:pPr>
            <w:r w:rsidRPr="00406DD2">
              <w:rPr>
                <w:rStyle w:val="Firstpagetablebold"/>
                <w:color w:val="auto"/>
              </w:rPr>
              <w:t xml:space="preserve">Background Papers: </w:t>
            </w:r>
            <w:r w:rsidRPr="00406DD2">
              <w:rPr>
                <w:rStyle w:val="Firstpagetablebold"/>
                <w:b w:val="0"/>
                <w:color w:val="auto"/>
              </w:rPr>
              <w:t>None</w:t>
            </w:r>
          </w:p>
        </w:tc>
      </w:tr>
      <w:tr w:rsidR="005570B5" w:rsidRPr="00406DD2" w:rsidTr="00A46E98">
        <w:tc>
          <w:tcPr>
            <w:tcW w:w="567" w:type="dxa"/>
            <w:tcBorders>
              <w:top w:val="nil"/>
              <w:left w:val="single" w:sz="8" w:space="0" w:color="000000"/>
              <w:bottom w:val="single" w:sz="8" w:space="0" w:color="000000"/>
              <w:right w:val="nil"/>
            </w:tcBorders>
            <w:shd w:val="clear" w:color="auto" w:fill="auto"/>
          </w:tcPr>
          <w:p w:rsidR="0093067A" w:rsidRPr="00406DD2"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406DD2" w:rsidRDefault="0093067A" w:rsidP="00F41AC1">
            <w:pPr>
              <w:rPr>
                <w:color w:val="auto"/>
              </w:rPr>
            </w:pPr>
          </w:p>
        </w:tc>
      </w:tr>
    </w:tbl>
    <w:p w:rsidR="00CE4C87" w:rsidRPr="00406DD2" w:rsidRDefault="00CE4C87" w:rsidP="0093067A">
      <w:pPr>
        <w:rPr>
          <w:color w:val="auto"/>
        </w:rPr>
      </w:pPr>
    </w:p>
    <w:p w:rsidR="0054712D" w:rsidRPr="00406DD2" w:rsidRDefault="0054712D" w:rsidP="0093067A">
      <w:pPr>
        <w:rPr>
          <w:color w:val="auto"/>
        </w:rPr>
      </w:pPr>
    </w:p>
    <w:p w:rsidR="00934E6B" w:rsidRPr="00406DD2" w:rsidRDefault="00934E6B">
      <w:pPr>
        <w:rPr>
          <w:color w:val="auto"/>
        </w:rPr>
      </w:pPr>
      <w:bookmarkStart w:id="0" w:name="_GoBack"/>
      <w:bookmarkEnd w:id="0"/>
    </w:p>
    <w:sectPr w:rsidR="00934E6B" w:rsidRPr="00406DD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1F" w:rsidRDefault="00DB0D1F" w:rsidP="004A6D2F">
      <w:r>
        <w:separator/>
      </w:r>
    </w:p>
  </w:endnote>
  <w:endnote w:type="continuationSeparator" w:id="0">
    <w:p w:rsidR="00DB0D1F" w:rsidRDefault="00DB0D1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1F" w:rsidRDefault="00DB0D1F" w:rsidP="004A6D2F">
      <w:r>
        <w:separator/>
      </w:r>
    </w:p>
  </w:footnote>
  <w:footnote w:type="continuationSeparator" w:id="0">
    <w:p w:rsidR="00DB0D1F" w:rsidRDefault="00DB0D1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896DE7" w:rsidP="00D5547E">
    <w:pPr>
      <w:pStyle w:val="Header"/>
      <w:jc w:val="right"/>
    </w:pPr>
    <w:r w:rsidRPr="00612730">
      <w:rPr>
        <w:noProof/>
      </w:rPr>
      <w:drawing>
        <wp:inline distT="0" distB="0" distL="0" distR="0">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2">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EC7549A"/>
    <w:multiLevelType w:val="hybridMultilevel"/>
    <w:tmpl w:val="C54C7F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8">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5">
    <w:nsid w:val="798365C6"/>
    <w:multiLevelType w:val="multilevel"/>
    <w:tmpl w:val="E67CE66C"/>
    <w:numStyleLink w:val="StyleNumberedLeft0cmHanging075cm"/>
  </w:abstractNum>
  <w:num w:numId="1">
    <w:abstractNumId w:val="3"/>
  </w:num>
  <w:num w:numId="2">
    <w:abstractNumId w:val="35"/>
  </w:num>
  <w:num w:numId="3">
    <w:abstractNumId w:val="14"/>
  </w:num>
  <w:num w:numId="4">
    <w:abstractNumId w:val="4"/>
  </w:num>
  <w:num w:numId="5">
    <w:abstractNumId w:val="31"/>
  </w:num>
  <w:num w:numId="6">
    <w:abstractNumId w:val="28"/>
  </w:num>
  <w:num w:numId="7">
    <w:abstractNumId w:val="27"/>
  </w:num>
  <w:num w:numId="8">
    <w:abstractNumId w:val="15"/>
  </w:num>
  <w:num w:numId="9">
    <w:abstractNumId w:val="25"/>
  </w:num>
  <w:num w:numId="10">
    <w:abstractNumId w:val="9"/>
  </w:num>
  <w:num w:numId="11">
    <w:abstractNumId w:val="1"/>
  </w:num>
  <w:num w:numId="12">
    <w:abstractNumId w:val="10"/>
  </w:num>
  <w:num w:numId="13">
    <w:abstractNumId w:val="7"/>
  </w:num>
  <w:num w:numId="14">
    <w:abstractNumId w:val="23"/>
  </w:num>
  <w:num w:numId="15">
    <w:abstractNumId w:val="2"/>
  </w:num>
  <w:num w:numId="16">
    <w:abstractNumId w:val="32"/>
  </w:num>
  <w:num w:numId="17">
    <w:abstractNumId w:val="12"/>
  </w:num>
  <w:num w:numId="18">
    <w:abstractNumId w:val="26"/>
  </w:num>
  <w:num w:numId="19">
    <w:abstractNumId w:val="34"/>
  </w:num>
  <w:num w:numId="20">
    <w:abstractNumId w:val="18"/>
  </w:num>
  <w:num w:numId="21">
    <w:abstractNumId w:val="19"/>
  </w:num>
  <w:num w:numId="22">
    <w:abstractNumId w:val="13"/>
  </w:num>
  <w:num w:numId="23">
    <w:abstractNumId w:val="17"/>
  </w:num>
  <w:num w:numId="24">
    <w:abstractNumId w:val="8"/>
  </w:num>
  <w:num w:numId="25">
    <w:abstractNumId w:val="29"/>
  </w:num>
  <w:num w:numId="26">
    <w:abstractNumId w:val="24"/>
  </w:num>
  <w:num w:numId="27">
    <w:abstractNumId w:val="0"/>
  </w:num>
  <w:num w:numId="28">
    <w:abstractNumId w:val="33"/>
  </w:num>
  <w:num w:numId="29">
    <w:abstractNumId w:val="11"/>
  </w:num>
  <w:num w:numId="30">
    <w:abstractNumId w:val="6"/>
  </w:num>
  <w:num w:numId="31">
    <w:abstractNumId w:val="30"/>
  </w:num>
  <w:num w:numId="32">
    <w:abstractNumId w:val="21"/>
  </w:num>
  <w:num w:numId="33">
    <w:abstractNumId w:val="20"/>
  </w:num>
  <w:num w:numId="34">
    <w:abstractNumId w:val="16"/>
  </w:num>
  <w:num w:numId="35">
    <w:abstractNumId w:val="22"/>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C09"/>
    <w:rsid w:val="000117D4"/>
    <w:rsid w:val="000119EC"/>
    <w:rsid w:val="00021313"/>
    <w:rsid w:val="000314D7"/>
    <w:rsid w:val="00034DFA"/>
    <w:rsid w:val="00044A94"/>
    <w:rsid w:val="00045CFD"/>
    <w:rsid w:val="00045F8B"/>
    <w:rsid w:val="00046505"/>
    <w:rsid w:val="00046D2B"/>
    <w:rsid w:val="00047B56"/>
    <w:rsid w:val="00050DA8"/>
    <w:rsid w:val="00053295"/>
    <w:rsid w:val="0005443F"/>
    <w:rsid w:val="0005594D"/>
    <w:rsid w:val="00056263"/>
    <w:rsid w:val="00056FA2"/>
    <w:rsid w:val="0006399D"/>
    <w:rsid w:val="00064D8A"/>
    <w:rsid w:val="00064F82"/>
    <w:rsid w:val="00066510"/>
    <w:rsid w:val="00070E1A"/>
    <w:rsid w:val="000749E8"/>
    <w:rsid w:val="000753A8"/>
    <w:rsid w:val="00077523"/>
    <w:rsid w:val="000776FF"/>
    <w:rsid w:val="00082AD8"/>
    <w:rsid w:val="00085B72"/>
    <w:rsid w:val="000917F9"/>
    <w:rsid w:val="00092B20"/>
    <w:rsid w:val="00093353"/>
    <w:rsid w:val="00096070"/>
    <w:rsid w:val="000963D9"/>
    <w:rsid w:val="000A47AE"/>
    <w:rsid w:val="000B6C3C"/>
    <w:rsid w:val="000B76DA"/>
    <w:rsid w:val="000C089F"/>
    <w:rsid w:val="000C1A15"/>
    <w:rsid w:val="000C3928"/>
    <w:rsid w:val="000C3D16"/>
    <w:rsid w:val="000C4C93"/>
    <w:rsid w:val="000C5E8E"/>
    <w:rsid w:val="000C5F5D"/>
    <w:rsid w:val="000C6280"/>
    <w:rsid w:val="000D5378"/>
    <w:rsid w:val="000E0057"/>
    <w:rsid w:val="000F1081"/>
    <w:rsid w:val="000F2A7A"/>
    <w:rsid w:val="000F44CC"/>
    <w:rsid w:val="000F4751"/>
    <w:rsid w:val="001029E3"/>
    <w:rsid w:val="0010524C"/>
    <w:rsid w:val="00107DFB"/>
    <w:rsid w:val="00111DE7"/>
    <w:rsid w:val="00111FB1"/>
    <w:rsid w:val="001121C1"/>
    <w:rsid w:val="0011263A"/>
    <w:rsid w:val="00113418"/>
    <w:rsid w:val="00117FD9"/>
    <w:rsid w:val="00121043"/>
    <w:rsid w:val="0013140F"/>
    <w:rsid w:val="00132A6F"/>
    <w:rsid w:val="00133FCB"/>
    <w:rsid w:val="001356F1"/>
    <w:rsid w:val="00135C15"/>
    <w:rsid w:val="00136994"/>
    <w:rsid w:val="00136EB8"/>
    <w:rsid w:val="00136FB7"/>
    <w:rsid w:val="0014128E"/>
    <w:rsid w:val="00151888"/>
    <w:rsid w:val="00151E78"/>
    <w:rsid w:val="001531B9"/>
    <w:rsid w:val="00155948"/>
    <w:rsid w:val="001623E0"/>
    <w:rsid w:val="00162B63"/>
    <w:rsid w:val="00166E6A"/>
    <w:rsid w:val="0017015E"/>
    <w:rsid w:val="00170A2D"/>
    <w:rsid w:val="00177372"/>
    <w:rsid w:val="001808BC"/>
    <w:rsid w:val="001826BE"/>
    <w:rsid w:val="00182B81"/>
    <w:rsid w:val="0018619D"/>
    <w:rsid w:val="0018749F"/>
    <w:rsid w:val="00190014"/>
    <w:rsid w:val="001944A2"/>
    <w:rsid w:val="0019563E"/>
    <w:rsid w:val="00195CA7"/>
    <w:rsid w:val="00197786"/>
    <w:rsid w:val="00197C34"/>
    <w:rsid w:val="001A011E"/>
    <w:rsid w:val="001A066A"/>
    <w:rsid w:val="001A13E6"/>
    <w:rsid w:val="001A4B55"/>
    <w:rsid w:val="001A5731"/>
    <w:rsid w:val="001A60BF"/>
    <w:rsid w:val="001B0AD1"/>
    <w:rsid w:val="001B42C3"/>
    <w:rsid w:val="001C1532"/>
    <w:rsid w:val="001C21C2"/>
    <w:rsid w:val="001C3F04"/>
    <w:rsid w:val="001C5D5E"/>
    <w:rsid w:val="001D1B96"/>
    <w:rsid w:val="001D3606"/>
    <w:rsid w:val="001D678D"/>
    <w:rsid w:val="001D6B95"/>
    <w:rsid w:val="001E03F8"/>
    <w:rsid w:val="001E12C0"/>
    <w:rsid w:val="001E1678"/>
    <w:rsid w:val="001E3376"/>
    <w:rsid w:val="001E7192"/>
    <w:rsid w:val="001F3375"/>
    <w:rsid w:val="002005E3"/>
    <w:rsid w:val="002018CC"/>
    <w:rsid w:val="002069B3"/>
    <w:rsid w:val="00206B28"/>
    <w:rsid w:val="00211440"/>
    <w:rsid w:val="00213A89"/>
    <w:rsid w:val="002159FE"/>
    <w:rsid w:val="00215DC1"/>
    <w:rsid w:val="00216D87"/>
    <w:rsid w:val="00221C73"/>
    <w:rsid w:val="00224C93"/>
    <w:rsid w:val="002256CA"/>
    <w:rsid w:val="002329CF"/>
    <w:rsid w:val="00232F5B"/>
    <w:rsid w:val="002369C8"/>
    <w:rsid w:val="00244FEC"/>
    <w:rsid w:val="00247C29"/>
    <w:rsid w:val="00251ED0"/>
    <w:rsid w:val="00252152"/>
    <w:rsid w:val="00256350"/>
    <w:rsid w:val="00260467"/>
    <w:rsid w:val="00261C3B"/>
    <w:rsid w:val="00261D35"/>
    <w:rsid w:val="00263EA3"/>
    <w:rsid w:val="00265217"/>
    <w:rsid w:val="00265BB1"/>
    <w:rsid w:val="002665C2"/>
    <w:rsid w:val="0028004E"/>
    <w:rsid w:val="00282E07"/>
    <w:rsid w:val="00284F85"/>
    <w:rsid w:val="00285D6F"/>
    <w:rsid w:val="002873F1"/>
    <w:rsid w:val="00287FB6"/>
    <w:rsid w:val="00290915"/>
    <w:rsid w:val="00292C57"/>
    <w:rsid w:val="002A15EC"/>
    <w:rsid w:val="002A22E2"/>
    <w:rsid w:val="002A52D8"/>
    <w:rsid w:val="002A6922"/>
    <w:rsid w:val="002B0315"/>
    <w:rsid w:val="002B33AE"/>
    <w:rsid w:val="002B3A96"/>
    <w:rsid w:val="002B55A9"/>
    <w:rsid w:val="002B7659"/>
    <w:rsid w:val="002C45FC"/>
    <w:rsid w:val="002C466A"/>
    <w:rsid w:val="002C556E"/>
    <w:rsid w:val="002C64F7"/>
    <w:rsid w:val="002D1679"/>
    <w:rsid w:val="002D2AFE"/>
    <w:rsid w:val="002D4A0A"/>
    <w:rsid w:val="002E033A"/>
    <w:rsid w:val="002E0A00"/>
    <w:rsid w:val="002E3728"/>
    <w:rsid w:val="002E4F99"/>
    <w:rsid w:val="002E7AE3"/>
    <w:rsid w:val="002F41F2"/>
    <w:rsid w:val="00301BF3"/>
    <w:rsid w:val="0030208D"/>
    <w:rsid w:val="003025E1"/>
    <w:rsid w:val="00304AD6"/>
    <w:rsid w:val="00307EE2"/>
    <w:rsid w:val="00316628"/>
    <w:rsid w:val="003209BA"/>
    <w:rsid w:val="00323418"/>
    <w:rsid w:val="00324B36"/>
    <w:rsid w:val="0033039D"/>
    <w:rsid w:val="003321B6"/>
    <w:rsid w:val="003357BF"/>
    <w:rsid w:val="00343A18"/>
    <w:rsid w:val="00360AA3"/>
    <w:rsid w:val="00360CE3"/>
    <w:rsid w:val="00364FAD"/>
    <w:rsid w:val="0036738F"/>
    <w:rsid w:val="0036759C"/>
    <w:rsid w:val="00367AE5"/>
    <w:rsid w:val="00367D71"/>
    <w:rsid w:val="0037202D"/>
    <w:rsid w:val="0038150A"/>
    <w:rsid w:val="00381C65"/>
    <w:rsid w:val="00390138"/>
    <w:rsid w:val="00395F98"/>
    <w:rsid w:val="0039720B"/>
    <w:rsid w:val="003A3FE3"/>
    <w:rsid w:val="003A55C4"/>
    <w:rsid w:val="003A74EF"/>
    <w:rsid w:val="003B0A0D"/>
    <w:rsid w:val="003B6E75"/>
    <w:rsid w:val="003B7DA1"/>
    <w:rsid w:val="003C12FE"/>
    <w:rsid w:val="003C4BFF"/>
    <w:rsid w:val="003C619C"/>
    <w:rsid w:val="003D0379"/>
    <w:rsid w:val="003D2574"/>
    <w:rsid w:val="003D4C59"/>
    <w:rsid w:val="003E75E2"/>
    <w:rsid w:val="003F3B2B"/>
    <w:rsid w:val="003F4267"/>
    <w:rsid w:val="003F50F9"/>
    <w:rsid w:val="003F6F7C"/>
    <w:rsid w:val="003F7042"/>
    <w:rsid w:val="00404032"/>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55BC"/>
    <w:rsid w:val="004456DD"/>
    <w:rsid w:val="00446085"/>
    <w:rsid w:val="00446CDF"/>
    <w:rsid w:val="00446E08"/>
    <w:rsid w:val="004521B7"/>
    <w:rsid w:val="00455A6A"/>
    <w:rsid w:val="0045613A"/>
    <w:rsid w:val="00462AB5"/>
    <w:rsid w:val="00465EAF"/>
    <w:rsid w:val="00470A86"/>
    <w:rsid w:val="004722D2"/>
    <w:rsid w:val="0047351F"/>
    <w:rsid w:val="004738C5"/>
    <w:rsid w:val="00474C2A"/>
    <w:rsid w:val="00476627"/>
    <w:rsid w:val="00491046"/>
    <w:rsid w:val="0049449D"/>
    <w:rsid w:val="004945B4"/>
    <w:rsid w:val="004A2AC7"/>
    <w:rsid w:val="004A3EAE"/>
    <w:rsid w:val="004A6D2F"/>
    <w:rsid w:val="004B5708"/>
    <w:rsid w:val="004B6807"/>
    <w:rsid w:val="004C2887"/>
    <w:rsid w:val="004C44FE"/>
    <w:rsid w:val="004C6918"/>
    <w:rsid w:val="004D1B2B"/>
    <w:rsid w:val="004D2626"/>
    <w:rsid w:val="004D30FD"/>
    <w:rsid w:val="004D6E26"/>
    <w:rsid w:val="004D77D3"/>
    <w:rsid w:val="004E27A6"/>
    <w:rsid w:val="004E2959"/>
    <w:rsid w:val="004F09E4"/>
    <w:rsid w:val="004F20EF"/>
    <w:rsid w:val="004F260A"/>
    <w:rsid w:val="004F652C"/>
    <w:rsid w:val="004F7AF1"/>
    <w:rsid w:val="0050321C"/>
    <w:rsid w:val="00507E3B"/>
    <w:rsid w:val="00515E8A"/>
    <w:rsid w:val="005223AA"/>
    <w:rsid w:val="00522F06"/>
    <w:rsid w:val="005300D5"/>
    <w:rsid w:val="005367B7"/>
    <w:rsid w:val="00536A53"/>
    <w:rsid w:val="00537BD6"/>
    <w:rsid w:val="005422B3"/>
    <w:rsid w:val="0054712D"/>
    <w:rsid w:val="00547EF6"/>
    <w:rsid w:val="0055120B"/>
    <w:rsid w:val="005570B5"/>
    <w:rsid w:val="005571E3"/>
    <w:rsid w:val="005603CD"/>
    <w:rsid w:val="00567E18"/>
    <w:rsid w:val="00570380"/>
    <w:rsid w:val="0057081B"/>
    <w:rsid w:val="00572110"/>
    <w:rsid w:val="00575F5F"/>
    <w:rsid w:val="00581805"/>
    <w:rsid w:val="005818C8"/>
    <w:rsid w:val="0058330D"/>
    <w:rsid w:val="00585F76"/>
    <w:rsid w:val="005865ED"/>
    <w:rsid w:val="005A022D"/>
    <w:rsid w:val="005A34E4"/>
    <w:rsid w:val="005A7896"/>
    <w:rsid w:val="005B17F2"/>
    <w:rsid w:val="005B264D"/>
    <w:rsid w:val="005B55EF"/>
    <w:rsid w:val="005B7FB0"/>
    <w:rsid w:val="005C007E"/>
    <w:rsid w:val="005C35A5"/>
    <w:rsid w:val="005C577C"/>
    <w:rsid w:val="005C5E16"/>
    <w:rsid w:val="005C668C"/>
    <w:rsid w:val="005D0621"/>
    <w:rsid w:val="005D1E27"/>
    <w:rsid w:val="005D2444"/>
    <w:rsid w:val="005D2A3E"/>
    <w:rsid w:val="005D5369"/>
    <w:rsid w:val="005D58A0"/>
    <w:rsid w:val="005D76D6"/>
    <w:rsid w:val="005E022E"/>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A00"/>
    <w:rsid w:val="00637068"/>
    <w:rsid w:val="00637A6A"/>
    <w:rsid w:val="00640B28"/>
    <w:rsid w:val="00642EFF"/>
    <w:rsid w:val="0064625F"/>
    <w:rsid w:val="00650642"/>
    <w:rsid w:val="00650811"/>
    <w:rsid w:val="00657207"/>
    <w:rsid w:val="00661D3E"/>
    <w:rsid w:val="00666094"/>
    <w:rsid w:val="0067298D"/>
    <w:rsid w:val="00692627"/>
    <w:rsid w:val="006927FE"/>
    <w:rsid w:val="0069664A"/>
    <w:rsid w:val="006969E7"/>
    <w:rsid w:val="00697F53"/>
    <w:rsid w:val="006A03DC"/>
    <w:rsid w:val="006A3643"/>
    <w:rsid w:val="006A3DC9"/>
    <w:rsid w:val="006B7532"/>
    <w:rsid w:val="006B79D4"/>
    <w:rsid w:val="006B7F04"/>
    <w:rsid w:val="006C1250"/>
    <w:rsid w:val="006C2A29"/>
    <w:rsid w:val="006C32F5"/>
    <w:rsid w:val="006C483B"/>
    <w:rsid w:val="006C577F"/>
    <w:rsid w:val="006C64CF"/>
    <w:rsid w:val="006C78E9"/>
    <w:rsid w:val="006D17B1"/>
    <w:rsid w:val="006D1FD7"/>
    <w:rsid w:val="006D4339"/>
    <w:rsid w:val="006D4752"/>
    <w:rsid w:val="006D708A"/>
    <w:rsid w:val="006E14C1"/>
    <w:rsid w:val="006E4B8F"/>
    <w:rsid w:val="006F0292"/>
    <w:rsid w:val="006F27FA"/>
    <w:rsid w:val="006F416B"/>
    <w:rsid w:val="006F4D93"/>
    <w:rsid w:val="006F519B"/>
    <w:rsid w:val="006F7CC4"/>
    <w:rsid w:val="006F7FA7"/>
    <w:rsid w:val="00706B71"/>
    <w:rsid w:val="00713675"/>
    <w:rsid w:val="00715823"/>
    <w:rsid w:val="0073065E"/>
    <w:rsid w:val="00732BDF"/>
    <w:rsid w:val="007333C3"/>
    <w:rsid w:val="00737B93"/>
    <w:rsid w:val="007415CA"/>
    <w:rsid w:val="00745BF0"/>
    <w:rsid w:val="00752960"/>
    <w:rsid w:val="0075664A"/>
    <w:rsid w:val="007615FE"/>
    <w:rsid w:val="0076287E"/>
    <w:rsid w:val="00762B40"/>
    <w:rsid w:val="0076655C"/>
    <w:rsid w:val="00770551"/>
    <w:rsid w:val="007714C1"/>
    <w:rsid w:val="007742DC"/>
    <w:rsid w:val="00775283"/>
    <w:rsid w:val="007766F3"/>
    <w:rsid w:val="007839B9"/>
    <w:rsid w:val="00784884"/>
    <w:rsid w:val="00785148"/>
    <w:rsid w:val="007907D7"/>
    <w:rsid w:val="00791437"/>
    <w:rsid w:val="0079321F"/>
    <w:rsid w:val="00797AC9"/>
    <w:rsid w:val="007B0C2C"/>
    <w:rsid w:val="007B12FE"/>
    <w:rsid w:val="007B278E"/>
    <w:rsid w:val="007B3359"/>
    <w:rsid w:val="007C282E"/>
    <w:rsid w:val="007C42D2"/>
    <w:rsid w:val="007C5C23"/>
    <w:rsid w:val="007C6F8A"/>
    <w:rsid w:val="007D0E21"/>
    <w:rsid w:val="007D1829"/>
    <w:rsid w:val="007D6B84"/>
    <w:rsid w:val="007E0F4C"/>
    <w:rsid w:val="007E28E1"/>
    <w:rsid w:val="007E2A26"/>
    <w:rsid w:val="007E64F0"/>
    <w:rsid w:val="007E75B1"/>
    <w:rsid w:val="007F0269"/>
    <w:rsid w:val="007F0928"/>
    <w:rsid w:val="007F0A26"/>
    <w:rsid w:val="007F2348"/>
    <w:rsid w:val="00801D11"/>
    <w:rsid w:val="00802422"/>
    <w:rsid w:val="00803F07"/>
    <w:rsid w:val="00803F1A"/>
    <w:rsid w:val="008050A5"/>
    <w:rsid w:val="0080749A"/>
    <w:rsid w:val="008074F3"/>
    <w:rsid w:val="008077F8"/>
    <w:rsid w:val="00817482"/>
    <w:rsid w:val="00821FB8"/>
    <w:rsid w:val="00822ACD"/>
    <w:rsid w:val="00836AE5"/>
    <w:rsid w:val="00840885"/>
    <w:rsid w:val="00843591"/>
    <w:rsid w:val="008506C4"/>
    <w:rsid w:val="00852FE1"/>
    <w:rsid w:val="008530EB"/>
    <w:rsid w:val="00855C66"/>
    <w:rsid w:val="008575E2"/>
    <w:rsid w:val="0086218C"/>
    <w:rsid w:val="00863602"/>
    <w:rsid w:val="00866DBA"/>
    <w:rsid w:val="00871C32"/>
    <w:rsid w:val="00871EE4"/>
    <w:rsid w:val="00872B70"/>
    <w:rsid w:val="00876831"/>
    <w:rsid w:val="008837D8"/>
    <w:rsid w:val="00883BA7"/>
    <w:rsid w:val="00886F33"/>
    <w:rsid w:val="0089212D"/>
    <w:rsid w:val="00896DE7"/>
    <w:rsid w:val="008A7B67"/>
    <w:rsid w:val="008B0D2B"/>
    <w:rsid w:val="008B293F"/>
    <w:rsid w:val="008B305E"/>
    <w:rsid w:val="008B6745"/>
    <w:rsid w:val="008B7371"/>
    <w:rsid w:val="008B769E"/>
    <w:rsid w:val="008C2114"/>
    <w:rsid w:val="008D3DDB"/>
    <w:rsid w:val="008D3FE6"/>
    <w:rsid w:val="008D5B32"/>
    <w:rsid w:val="008D7BF9"/>
    <w:rsid w:val="008E63DE"/>
    <w:rsid w:val="008F094F"/>
    <w:rsid w:val="008F09F3"/>
    <w:rsid w:val="008F5168"/>
    <w:rsid w:val="008F5712"/>
    <w:rsid w:val="008F573F"/>
    <w:rsid w:val="008F6E30"/>
    <w:rsid w:val="008F7357"/>
    <w:rsid w:val="009034EC"/>
    <w:rsid w:val="0090421C"/>
    <w:rsid w:val="00905148"/>
    <w:rsid w:val="009168D9"/>
    <w:rsid w:val="00916C63"/>
    <w:rsid w:val="009208BD"/>
    <w:rsid w:val="009210B1"/>
    <w:rsid w:val="00923390"/>
    <w:rsid w:val="0093067A"/>
    <w:rsid w:val="009306BD"/>
    <w:rsid w:val="00934C3F"/>
    <w:rsid w:val="00934D30"/>
    <w:rsid w:val="00934E6B"/>
    <w:rsid w:val="009367F2"/>
    <w:rsid w:val="009370F6"/>
    <w:rsid w:val="009372F1"/>
    <w:rsid w:val="00941C60"/>
    <w:rsid w:val="00944F46"/>
    <w:rsid w:val="00946452"/>
    <w:rsid w:val="009559D8"/>
    <w:rsid w:val="00957365"/>
    <w:rsid w:val="00960799"/>
    <w:rsid w:val="00964041"/>
    <w:rsid w:val="00964187"/>
    <w:rsid w:val="00966D42"/>
    <w:rsid w:val="00970A75"/>
    <w:rsid w:val="00971689"/>
    <w:rsid w:val="00973E90"/>
    <w:rsid w:val="00975B07"/>
    <w:rsid w:val="00976BCD"/>
    <w:rsid w:val="00977766"/>
    <w:rsid w:val="00980B4A"/>
    <w:rsid w:val="0099724D"/>
    <w:rsid w:val="009B0200"/>
    <w:rsid w:val="009B0344"/>
    <w:rsid w:val="009B11F3"/>
    <w:rsid w:val="009B381B"/>
    <w:rsid w:val="009B4BFF"/>
    <w:rsid w:val="009B6D80"/>
    <w:rsid w:val="009B708C"/>
    <w:rsid w:val="009C0CE9"/>
    <w:rsid w:val="009C177B"/>
    <w:rsid w:val="009C59A8"/>
    <w:rsid w:val="009C59F4"/>
    <w:rsid w:val="009E0AA3"/>
    <w:rsid w:val="009E3D0A"/>
    <w:rsid w:val="009E4858"/>
    <w:rsid w:val="009E51FC"/>
    <w:rsid w:val="009F1D28"/>
    <w:rsid w:val="009F3585"/>
    <w:rsid w:val="009F6EEC"/>
    <w:rsid w:val="009F7618"/>
    <w:rsid w:val="00A04CDB"/>
    <w:rsid w:val="00A04D23"/>
    <w:rsid w:val="00A06766"/>
    <w:rsid w:val="00A11423"/>
    <w:rsid w:val="00A13765"/>
    <w:rsid w:val="00A17470"/>
    <w:rsid w:val="00A21278"/>
    <w:rsid w:val="00A21B12"/>
    <w:rsid w:val="00A22708"/>
    <w:rsid w:val="00A23CB8"/>
    <w:rsid w:val="00A23F80"/>
    <w:rsid w:val="00A35FDB"/>
    <w:rsid w:val="00A36624"/>
    <w:rsid w:val="00A40EFD"/>
    <w:rsid w:val="00A46404"/>
    <w:rsid w:val="00A46CDF"/>
    <w:rsid w:val="00A46CED"/>
    <w:rsid w:val="00A46E98"/>
    <w:rsid w:val="00A50727"/>
    <w:rsid w:val="00A51D23"/>
    <w:rsid w:val="00A6352B"/>
    <w:rsid w:val="00A666B3"/>
    <w:rsid w:val="00A67BC1"/>
    <w:rsid w:val="00A701B5"/>
    <w:rsid w:val="00A714BB"/>
    <w:rsid w:val="00A77659"/>
    <w:rsid w:val="00A81280"/>
    <w:rsid w:val="00A82AF9"/>
    <w:rsid w:val="00A85B0E"/>
    <w:rsid w:val="00A91B9B"/>
    <w:rsid w:val="00A9244B"/>
    <w:rsid w:val="00A92D8F"/>
    <w:rsid w:val="00A93767"/>
    <w:rsid w:val="00A94C30"/>
    <w:rsid w:val="00AA5D03"/>
    <w:rsid w:val="00AB2988"/>
    <w:rsid w:val="00AB7999"/>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7804"/>
    <w:rsid w:val="00B22FEE"/>
    <w:rsid w:val="00B32485"/>
    <w:rsid w:val="00B32995"/>
    <w:rsid w:val="00B36454"/>
    <w:rsid w:val="00B40416"/>
    <w:rsid w:val="00B43A09"/>
    <w:rsid w:val="00B500CA"/>
    <w:rsid w:val="00B537C2"/>
    <w:rsid w:val="00B53FB6"/>
    <w:rsid w:val="00B6503D"/>
    <w:rsid w:val="00B74923"/>
    <w:rsid w:val="00B8084E"/>
    <w:rsid w:val="00B80C36"/>
    <w:rsid w:val="00B84D7D"/>
    <w:rsid w:val="00B86314"/>
    <w:rsid w:val="00B87386"/>
    <w:rsid w:val="00B92AA5"/>
    <w:rsid w:val="00B93514"/>
    <w:rsid w:val="00B968EC"/>
    <w:rsid w:val="00BA1C2E"/>
    <w:rsid w:val="00BB12F0"/>
    <w:rsid w:val="00BB6A43"/>
    <w:rsid w:val="00BB74FC"/>
    <w:rsid w:val="00BC200B"/>
    <w:rsid w:val="00BC4756"/>
    <w:rsid w:val="00BC54ED"/>
    <w:rsid w:val="00BC69A4"/>
    <w:rsid w:val="00BD3B6D"/>
    <w:rsid w:val="00BD5867"/>
    <w:rsid w:val="00BE0680"/>
    <w:rsid w:val="00BE305F"/>
    <w:rsid w:val="00BE5A97"/>
    <w:rsid w:val="00BE7BA3"/>
    <w:rsid w:val="00BF2AF4"/>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400E1"/>
    <w:rsid w:val="00C41187"/>
    <w:rsid w:val="00C44D88"/>
    <w:rsid w:val="00C512A1"/>
    <w:rsid w:val="00C6078C"/>
    <w:rsid w:val="00C63C31"/>
    <w:rsid w:val="00C73206"/>
    <w:rsid w:val="00C733A4"/>
    <w:rsid w:val="00C757A0"/>
    <w:rsid w:val="00C757BB"/>
    <w:rsid w:val="00C760DE"/>
    <w:rsid w:val="00C80E03"/>
    <w:rsid w:val="00C82630"/>
    <w:rsid w:val="00C84C29"/>
    <w:rsid w:val="00C85B4E"/>
    <w:rsid w:val="00C8750C"/>
    <w:rsid w:val="00C907F7"/>
    <w:rsid w:val="00C92C66"/>
    <w:rsid w:val="00C92CB1"/>
    <w:rsid w:val="00C94EE4"/>
    <w:rsid w:val="00CA0195"/>
    <w:rsid w:val="00CA2103"/>
    <w:rsid w:val="00CA2737"/>
    <w:rsid w:val="00CA32BE"/>
    <w:rsid w:val="00CB3D91"/>
    <w:rsid w:val="00CB6B99"/>
    <w:rsid w:val="00CC0A43"/>
    <w:rsid w:val="00CC2459"/>
    <w:rsid w:val="00CC59C6"/>
    <w:rsid w:val="00CD6231"/>
    <w:rsid w:val="00CD6F77"/>
    <w:rsid w:val="00CE22BA"/>
    <w:rsid w:val="00CE4C87"/>
    <w:rsid w:val="00CE544A"/>
    <w:rsid w:val="00CE6D84"/>
    <w:rsid w:val="00D06841"/>
    <w:rsid w:val="00D0745E"/>
    <w:rsid w:val="00D11E1C"/>
    <w:rsid w:val="00D12262"/>
    <w:rsid w:val="00D160B0"/>
    <w:rsid w:val="00D16593"/>
    <w:rsid w:val="00D17F94"/>
    <w:rsid w:val="00D21C23"/>
    <w:rsid w:val="00D223FC"/>
    <w:rsid w:val="00D22960"/>
    <w:rsid w:val="00D241FF"/>
    <w:rsid w:val="00D24FF1"/>
    <w:rsid w:val="00D25A03"/>
    <w:rsid w:val="00D26D1E"/>
    <w:rsid w:val="00D4040D"/>
    <w:rsid w:val="00D41A9C"/>
    <w:rsid w:val="00D43CE9"/>
    <w:rsid w:val="00D45E2B"/>
    <w:rsid w:val="00D474CF"/>
    <w:rsid w:val="00D51A4D"/>
    <w:rsid w:val="00D5547E"/>
    <w:rsid w:val="00D56E95"/>
    <w:rsid w:val="00D64A02"/>
    <w:rsid w:val="00D71DDE"/>
    <w:rsid w:val="00D7667D"/>
    <w:rsid w:val="00D76AA5"/>
    <w:rsid w:val="00D819B3"/>
    <w:rsid w:val="00D869A1"/>
    <w:rsid w:val="00D9004B"/>
    <w:rsid w:val="00D905C7"/>
    <w:rsid w:val="00D9110B"/>
    <w:rsid w:val="00DA413F"/>
    <w:rsid w:val="00DA4584"/>
    <w:rsid w:val="00DA614B"/>
    <w:rsid w:val="00DA6824"/>
    <w:rsid w:val="00DB0200"/>
    <w:rsid w:val="00DB0D1F"/>
    <w:rsid w:val="00DB40A3"/>
    <w:rsid w:val="00DB5E73"/>
    <w:rsid w:val="00DC1F43"/>
    <w:rsid w:val="00DC3060"/>
    <w:rsid w:val="00DD2B83"/>
    <w:rsid w:val="00DD54A8"/>
    <w:rsid w:val="00DE041F"/>
    <w:rsid w:val="00DE0FB2"/>
    <w:rsid w:val="00DE2F66"/>
    <w:rsid w:val="00DE64FC"/>
    <w:rsid w:val="00DE77AE"/>
    <w:rsid w:val="00DF093E"/>
    <w:rsid w:val="00DF2F9B"/>
    <w:rsid w:val="00DF32F0"/>
    <w:rsid w:val="00DF52FA"/>
    <w:rsid w:val="00E001B2"/>
    <w:rsid w:val="00E01F42"/>
    <w:rsid w:val="00E06D4C"/>
    <w:rsid w:val="00E07095"/>
    <w:rsid w:val="00E141C6"/>
    <w:rsid w:val="00E155EB"/>
    <w:rsid w:val="00E157FF"/>
    <w:rsid w:val="00E206D6"/>
    <w:rsid w:val="00E26741"/>
    <w:rsid w:val="00E270C4"/>
    <w:rsid w:val="00E3160F"/>
    <w:rsid w:val="00E3307B"/>
    <w:rsid w:val="00E3366E"/>
    <w:rsid w:val="00E3407B"/>
    <w:rsid w:val="00E35E8D"/>
    <w:rsid w:val="00E52086"/>
    <w:rsid w:val="00E543A6"/>
    <w:rsid w:val="00E54D43"/>
    <w:rsid w:val="00E6010D"/>
    <w:rsid w:val="00E60479"/>
    <w:rsid w:val="00E605C7"/>
    <w:rsid w:val="00E61D73"/>
    <w:rsid w:val="00E71D56"/>
    <w:rsid w:val="00E72133"/>
    <w:rsid w:val="00E73684"/>
    <w:rsid w:val="00E818D6"/>
    <w:rsid w:val="00E854A0"/>
    <w:rsid w:val="00E87F7A"/>
    <w:rsid w:val="00E93B26"/>
    <w:rsid w:val="00E96BD7"/>
    <w:rsid w:val="00EA0DB1"/>
    <w:rsid w:val="00EA0EE9"/>
    <w:rsid w:val="00EA41DD"/>
    <w:rsid w:val="00EA5469"/>
    <w:rsid w:val="00EA78BE"/>
    <w:rsid w:val="00EA7FF7"/>
    <w:rsid w:val="00EB0341"/>
    <w:rsid w:val="00EB5BD4"/>
    <w:rsid w:val="00EC1411"/>
    <w:rsid w:val="00EC2343"/>
    <w:rsid w:val="00EC7FEC"/>
    <w:rsid w:val="00ED108A"/>
    <w:rsid w:val="00ED1562"/>
    <w:rsid w:val="00ED52CA"/>
    <w:rsid w:val="00ED5860"/>
    <w:rsid w:val="00EE1B74"/>
    <w:rsid w:val="00EE35C9"/>
    <w:rsid w:val="00F05ECA"/>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CD4"/>
    <w:rsid w:val="00F50D59"/>
    <w:rsid w:val="00F52AB6"/>
    <w:rsid w:val="00F52DDC"/>
    <w:rsid w:val="00F52E15"/>
    <w:rsid w:val="00F5632A"/>
    <w:rsid w:val="00F57A81"/>
    <w:rsid w:val="00F66DCA"/>
    <w:rsid w:val="00F74F53"/>
    <w:rsid w:val="00F75549"/>
    <w:rsid w:val="00F7606D"/>
    <w:rsid w:val="00F76CE1"/>
    <w:rsid w:val="00F81670"/>
    <w:rsid w:val="00F82024"/>
    <w:rsid w:val="00F82D52"/>
    <w:rsid w:val="00F8741C"/>
    <w:rsid w:val="00F90A12"/>
    <w:rsid w:val="00F95BC9"/>
    <w:rsid w:val="00F96A87"/>
    <w:rsid w:val="00F97C01"/>
    <w:rsid w:val="00FA19F8"/>
    <w:rsid w:val="00FA4A8D"/>
    <w:rsid w:val="00FA624C"/>
    <w:rsid w:val="00FB2971"/>
    <w:rsid w:val="00FB70AC"/>
    <w:rsid w:val="00FC262C"/>
    <w:rsid w:val="00FD0FAC"/>
    <w:rsid w:val="00FD1A21"/>
    <w:rsid w:val="00FD1DFA"/>
    <w:rsid w:val="00FD262F"/>
    <w:rsid w:val="00FD4134"/>
    <w:rsid w:val="00FD4966"/>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7B9C-C673-46DD-9BA1-2E4D57D1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CCFB58A5</Template>
  <TotalTime>3</TotalTime>
  <Pages>5</Pages>
  <Words>1426</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JMitchell</cp:lastModifiedBy>
  <cp:revision>3</cp:revision>
  <cp:lastPrinted>2017-08-07T08:36:00Z</cp:lastPrinted>
  <dcterms:created xsi:type="dcterms:W3CDTF">2019-09-24T06:40:00Z</dcterms:created>
  <dcterms:modified xsi:type="dcterms:W3CDTF">2019-09-24T09:44:00Z</dcterms:modified>
</cp:coreProperties>
</file>